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single" w:color="F5F1E8" w:sz="4"/>
          <w:left w:val="single" w:color="F5F1E8" w:sz="4"/>
          <w:bottom w:val="single" w:color="C9A227" w:sz="12"/>
          <w:right w:val="single" w:color="F5F1E8" w:sz="4"/>
          <w:insideH w:val="none" w:color="FFFFFF" w:sz="0"/>
          <w:insideV w:val="none" w:color="FFFFFF" w:sz="0"/>
        </w:tblBorders>
      </w:tblPr>
      <w:tblGrid>
        <w:gridCol w:w="9890"/>
      </w:tblGrid>
      <w:tr>
        <w:tc>
          <w:tcPr>
            <w:shd w:fill="F5F1E8" w:val="clear"/>
            <w:tcMar>
              <w:top w:type="dxa" w:w="100"/>
              <w:left w:type="dxa" w:w="110"/>
              <w:bottom w:type="dxa" w:w="100"/>
              <w:right w:type="dxa" w:w="110"/>
            </w:tcMar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809750" cy="69532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695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35" w:before="120" w:line="290"/>
        <w:jc w:val="center"/>
      </w:pPr>
      <w:r>
        <w:rPr>
          <w:rFonts w:ascii="Georgia" w:cs="Georgia" w:hAnsi="Georgia"/>
          <w:b/>
          <w:bCs/>
          <w:color w:val="1B2A4A"/>
          <w:sz w:val="34"/>
          <w:szCs w:val="34"/>
        </w:rPr>
        <w:t xml:space="preserve">UAE National Beverage Container Deposit Return System (DRS)</w:t>
      </w:r>
    </w:p>
    <w:p>
      <w:pPr>
        <w:spacing w:after="70"/>
        <w:jc w:val="center"/>
      </w:pPr>
      <w:r>
        <w:rPr>
          <w:rFonts w:ascii="Georgia" w:cs="Georgia" w:hAnsi="Georgia"/>
          <w:b/>
          <w:bCs/>
          <w:color w:val="4A6580"/>
          <w:sz w:val="24"/>
          <w:szCs w:val="24"/>
        </w:rPr>
        <w:t xml:space="preserve">Executive Summary for Ministers</w:t>
      </w:r>
    </w:p>
    <w:p>
      <w:pPr>
        <w:spacing w:after="25" w:line="218"/>
        <w:jc w:val="center"/>
      </w:pPr>
      <w:r>
        <w:rPr>
          <w:rFonts w:ascii="Calibri" w:cs="Calibri" w:hAnsi="Calibri"/>
          <w:b/>
          <w:bCs/>
          <w:color w:val="4A6580"/>
          <w:sz w:val="16"/>
          <w:szCs w:val="16"/>
        </w:rPr>
        <w:t xml:space="preserve">Prepared by Segen in partnership with Earth Care Consulting - for the Ministry of Economy &amp; Tourism and the Ministry of Climate Change &amp; Environment</w:t>
      </w:r>
    </w:p>
    <w:p>
      <w:pPr>
        <w:spacing w:after="50"/>
        <w:jc w:val="center"/>
      </w:pPr>
      <w:r>
        <w:rPr>
          <w:rFonts w:ascii="Calibri" w:cs="Calibri" w:hAnsi="Calibri"/>
          <w:b/>
          <w:bCs/>
          <w:color w:val="4A6580"/>
          <w:sz w:val="16"/>
          <w:szCs w:val="16"/>
        </w:rPr>
        <w:t xml:space="preserve">July 2026 · </w:t>
      </w:r>
      <w:r>
        <w:rPr>
          <w:rFonts w:ascii="Calibri" w:cs="Calibri" w:hAnsi="Calibri"/>
          <w:b/>
          <w:bCs/>
          <w:color w:val="9C4F2E"/>
          <w:sz w:val="16"/>
          <w:szCs w:val="16"/>
        </w:rPr>
        <w:t xml:space="preserve">CONFIDENTIAL - for official use only</w:t>
      </w:r>
    </w:p>
    <w:p>
      <w:pPr>
        <w:pBdr>
          <w:bottom w:val="single" w:color="C9A227" w:sz="8" w:space="1"/>
        </w:pBdr>
        <w:spacing w:after="70" w:before="0"/>
      </w:pPr>
      <w:r>
        <w:rPr>
          <w:rFonts w:ascii="Calibri" w:cs="Calibri" w:hAnsi="Calibri"/>
          <w:sz w:val="2"/>
          <w:szCs w:val="2"/>
        </w:rPr>
        <w:t xml:space="preserve"/>
      </w:r>
    </w:p>
    <w:p>
      <w:pPr>
        <w:pStyle w:val="Heading2"/>
        <w:pBdr>
          <w:bottom w:val="single" w:color="C9A227" w:sz="6" w:space="2"/>
        </w:pBdr>
        <w:spacing w:after="55" w:before="90"/>
      </w:pPr>
      <w:r>
        <w:rPr>
          <w:rFonts w:ascii="Georgia" w:cs="Georgia" w:hAnsi="Georgia"/>
          <w:b/>
          <w:bCs/>
          <w:color w:val="1B2A4A"/>
          <w:sz w:val="24"/>
          <w:szCs w:val="24"/>
        </w:rPr>
        <w:t xml:space="preserve">The opportunity</w:t>
      </w:r>
    </w:p>
    <w:p>
      <w:pPr>
        <w:spacing w:after="80" w:line="250"/>
        <w:jc w:val="both"/>
      </w:pPr>
      <w:r>
        <w:rPr>
          <w:rFonts w:ascii="Calibri" w:cs="Calibri" w:hAnsi="Calibri"/>
          <w:sz w:val="20"/>
          <w:szCs w:val="20"/>
        </w:rPr>
        <w:t xml:space="preserve">The UAE places an estimated </w:t>
      </w:r>
      <w:r>
        <w:rPr>
          <w:rFonts w:ascii="Calibri" w:cs="Calibri" w:hAnsi="Calibri"/>
          <w:b/>
          <w:bCs/>
          <w:sz w:val="20"/>
          <w:szCs w:val="20"/>
        </w:rPr>
        <w:t xml:space="preserve">3.7 billion single-use beverage containers</w:t>
      </w:r>
      <w:r>
        <w:rPr>
          <w:rFonts w:ascii="Calibri" w:cs="Calibri" w:hAnsi="Calibri"/>
          <w:sz w:val="20"/>
          <w:szCs w:val="20"/>
        </w:rPr>
        <w:t xml:space="preserve"> on its market each year - consumption intensity unmatched anywhere in the world - yet today's voluntary schemes recover only a low-single-digit share of that flow. With the final phase of the federal single-use plastics ban in force since 1 January 2026, beverage containers are the dominant </w:t>
      </w:r>
      <w:r>
        <w:rPr>
          <w:rFonts w:ascii="Calibri" w:cs="Calibri" w:hAnsi="Calibri"/>
          <w:i/>
          <w:iCs/>
          <w:sz w:val="20"/>
          <w:szCs w:val="20"/>
        </w:rPr>
        <w:t xml:space="preserve">remaining</w:t>
      </w:r>
      <w:r>
        <w:rPr>
          <w:rFonts w:ascii="Calibri" w:cs="Calibri" w:hAnsi="Calibri"/>
          <w:sz w:val="20"/>
          <w:szCs w:val="20"/>
        </w:rPr>
        <w:t xml:space="preserve"> single-use stream - and the only one that can be recovered at 90%+ rates as high-grade industrial feedstock rather than prohibited. Deposit return is the proven instrument for exactly this: a </w:t>
      </w:r>
      <w:r>
        <w:rPr>
          <w:rFonts w:ascii="Calibri" w:cs="Calibri" w:hAnsi="Calibri"/>
          <w:b/>
          <w:bCs/>
          <w:sz w:val="20"/>
          <w:szCs w:val="20"/>
        </w:rPr>
        <w:t xml:space="preserve">91% median return rate across European DRS countries</w:t>
      </w:r>
      <w:r>
        <w:rPr>
          <w:rFonts w:ascii="Calibri" w:cs="Calibri" w:hAnsi="Calibri"/>
          <w:sz w:val="20"/>
          <w:szCs w:val="20"/>
        </w:rPr>
        <w:t xml:space="preserve"> against sub-50% for kerbside collection, with more than 400 million people already living in deposit jurisdictions.</w:t>
      </w:r>
    </w:p>
    <w:p>
      <w:pPr>
        <w:pStyle w:val="Heading2"/>
        <w:pBdr>
          <w:bottom w:val="single" w:color="C9A227" w:sz="6" w:space="2"/>
        </w:pBdr>
        <w:spacing w:after="55" w:before="90"/>
      </w:pPr>
      <w:r>
        <w:rPr>
          <w:rFonts w:ascii="Georgia" w:cs="Georgia" w:hAnsi="Georgia"/>
          <w:b/>
          <w:bCs/>
          <w:color w:val="1B2A4A"/>
          <w:sz w:val="24"/>
          <w:szCs w:val="24"/>
        </w:rPr>
        <w:t xml:space="preserve">The proposal</w:t>
      </w:r>
    </w:p>
    <w:p>
      <w:pPr>
        <w:spacing w:after="80" w:line="250"/>
        <w:jc w:val="both"/>
      </w:pPr>
      <w:r>
        <w:rPr>
          <w:rFonts w:ascii="Calibri" w:cs="Calibri" w:hAnsi="Calibri"/>
          <w:sz w:val="20"/>
          <w:szCs w:val="20"/>
        </w:rPr>
        <w:t xml:space="preserve">Segen (Dubai) and Earth Care Consulting (European DRS specialists, with implementation roles in the Lithuanian, Slovak, Austrian and Portuguese launches and a current advisory mandate to the UK Government) propose to </w:t>
      </w:r>
      <w:r>
        <w:rPr>
          <w:rFonts w:ascii="Calibri" w:cs="Calibri" w:hAnsi="Calibri"/>
          <w:b/>
          <w:bCs/>
          <w:sz w:val="20"/>
          <w:szCs w:val="20"/>
        </w:rPr>
        <w:t xml:space="preserve">design, finance, build and operate the UAE's national DRS</w:t>
      </w:r>
      <w:r>
        <w:rPr>
          <w:rFonts w:ascii="Calibri" w:cs="Calibri" w:hAnsi="Calibri"/>
          <w:sz w:val="20"/>
          <w:szCs w:val="20"/>
        </w:rPr>
        <w:t xml:space="preserve"> as a public-private initiative under federal sponsorship and supervision. The system is deliberately simple for consumers and rigorous for industry:</w:t>
      </w:r>
    </w:p>
    <w:p>
      <w:pPr>
        <w:pStyle w:val="ListParagraph"/>
        <w:numPr>
          <w:ilvl w:val="0"/>
          <w:numId w:val="1"/>
        </w:numPr>
        <w:spacing w:after="35" w:line="235"/>
      </w:pPr>
      <w:r>
        <w:rPr>
          <w:rFonts w:ascii="Calibri" w:cs="Calibri" w:hAnsi="Calibri"/>
          <w:sz w:val="20"/>
          <w:szCs w:val="20"/>
        </w:rPr>
        <w:t xml:space="preserve">A small, fully refundable deposit - recommended reference </w:t>
      </w:r>
      <w:r>
        <w:rPr>
          <w:rFonts w:ascii="Calibri" w:cs="Calibri" w:hAnsi="Calibri"/>
          <w:b/>
          <w:bCs/>
          <w:sz w:val="20"/>
          <w:szCs w:val="20"/>
        </w:rPr>
        <w:t xml:space="preserve">AED 0.25 flat</w:t>
      </w:r>
      <w:r>
        <w:rPr>
          <w:rFonts w:ascii="Calibri" w:cs="Calibri" w:hAnsi="Calibri"/>
          <w:sz w:val="20"/>
          <w:szCs w:val="20"/>
        </w:rPr>
        <w:t xml:space="preserve"> per container (non-binding, for policymakers' consideration) - applied at purchase and refunded in full on return;</w:t>
      </w:r>
    </w:p>
    <w:p>
      <w:pPr>
        <w:pStyle w:val="ListParagraph"/>
        <w:numPr>
          <w:ilvl w:val="0"/>
          <w:numId w:val="1"/>
        </w:numPr>
        <w:spacing w:after="35" w:line="235"/>
      </w:pPr>
      <w:r>
        <w:rPr>
          <w:rFonts w:ascii="Calibri" w:cs="Calibri" w:hAnsi="Calibri"/>
          <w:sz w:val="20"/>
          <w:szCs w:val="20"/>
        </w:rPr>
        <w:t xml:space="preserve">A national return network of </w:t>
      </w:r>
      <w:r>
        <w:rPr>
          <w:rFonts w:ascii="Calibri" w:cs="Calibri" w:hAnsi="Calibri"/>
          <w:b/>
          <w:bCs/>
          <w:sz w:val="20"/>
          <w:szCs w:val="20"/>
        </w:rPr>
        <w:t xml:space="preserve">3,500 reverse vending machines</w:t>
      </w:r>
      <w:r>
        <w:rPr>
          <w:rFonts w:ascii="Calibri" w:cs="Calibri" w:hAnsi="Calibri"/>
          <w:sz w:val="20"/>
          <w:szCs w:val="20"/>
        </w:rPr>
        <w:t xml:space="preserve"> plus ~5,500 manual and HoReCa collection points - approximately </w:t>
      </w:r>
      <w:r>
        <w:rPr>
          <w:rFonts w:ascii="Calibri" w:cs="Calibri" w:hAnsi="Calibri"/>
          <w:b/>
          <w:bCs/>
          <w:sz w:val="20"/>
          <w:szCs w:val="20"/>
        </w:rPr>
        <w:t xml:space="preserve">9,000 return points</w:t>
      </w:r>
      <w:r>
        <w:rPr>
          <w:rFonts w:ascii="Calibri" w:cs="Calibri" w:hAnsi="Calibri"/>
          <w:sz w:val="20"/>
          <w:szCs w:val="20"/>
        </w:rPr>
        <w:t xml:space="preserve">, one per ~1,250 residents - across supermarkets, malls, petrol stations, transit hubs and public locations;</w:t>
      </w:r>
    </w:p>
    <w:p>
      <w:pPr>
        <w:pStyle w:val="ListParagraph"/>
        <w:numPr>
          <w:ilvl w:val="0"/>
          <w:numId w:val="1"/>
        </w:numPr>
        <w:spacing w:after="35" w:line="235"/>
      </w:pPr>
      <w:r>
        <w:rPr>
          <w:rFonts w:ascii="Calibri" w:cs="Calibri" w:hAnsi="Calibri"/>
          <w:b/>
          <w:bCs/>
          <w:sz w:val="20"/>
          <w:szCs w:val="20"/>
        </w:rPr>
        <w:t xml:space="preserve">Three counting and sorting centres</w:t>
      </w:r>
      <w:r>
        <w:rPr>
          <w:rFonts w:ascii="Calibri" w:cs="Calibri" w:hAnsi="Calibri"/>
          <w:sz w:val="20"/>
          <w:szCs w:val="20"/>
        </w:rPr>
        <w:t xml:space="preserve"> (Dubai, Abu Dhabi, Sharjah/Northern Emirates) and a central clearing platform registering every eligible container, deposit transaction and recycled tonne;</w:t>
      </w:r>
    </w:p>
    <w:p>
      <w:pPr>
        <w:pStyle w:val="ListParagraph"/>
        <w:numPr>
          <w:ilvl w:val="0"/>
          <w:numId w:val="1"/>
        </w:numPr>
        <w:spacing w:after="35" w:line="235"/>
      </w:pPr>
      <w:r>
        <w:rPr>
          <w:rFonts w:ascii="Calibri" w:cs="Calibri" w:hAnsi="Calibri"/>
          <w:b/>
          <w:bCs/>
          <w:sz w:val="20"/>
          <w:szCs w:val="20"/>
        </w:rPr>
        <w:t xml:space="preserve">Producer funding</w:t>
      </w:r>
      <w:r>
        <w:rPr>
          <w:rFonts w:ascii="Calibri" w:cs="Calibri" w:hAnsi="Calibri"/>
          <w:sz w:val="20"/>
          <w:szCs w:val="20"/>
        </w:rPr>
        <w:t xml:space="preserve">: recommended fees of </w:t>
      </w:r>
      <w:r>
        <w:rPr>
          <w:rFonts w:ascii="Calibri" w:cs="Calibri" w:hAnsi="Calibri"/>
          <w:b/>
          <w:bCs/>
          <w:sz w:val="20"/>
          <w:szCs w:val="20"/>
        </w:rPr>
        <w:t xml:space="preserve">AED 0.20 / 0.08 / 0.24 per PET / aluminium / glass container</w:t>
      </w:r>
      <w:r>
        <w:rPr>
          <w:rFonts w:ascii="Calibri" w:cs="Calibri" w:hAnsi="Calibri"/>
          <w:sz w:val="20"/>
          <w:szCs w:val="20"/>
        </w:rPr>
        <w:t xml:space="preserve"> (non-binding), calibrated for steady-state cost recovery with an annual statutory fee review;</w:t>
      </w:r>
    </w:p>
    <w:p>
      <w:pPr>
        <w:pStyle w:val="ListParagraph"/>
        <w:numPr>
          <w:ilvl w:val="0"/>
          <w:numId w:val="1"/>
        </w:numPr>
        <w:spacing w:after="35" w:line="235"/>
      </w:pPr>
      <w:r>
        <w:rPr>
          <w:rFonts w:ascii="Calibri" w:cs="Calibri" w:hAnsi="Calibri"/>
          <w:b/>
          <w:bCs/>
          <w:sz w:val="20"/>
          <w:szCs w:val="20"/>
        </w:rPr>
        <w:t xml:space="preserve">Governance</w:t>
      </w:r>
      <w:r>
        <w:rPr>
          <w:rFonts w:ascii="Calibri" w:cs="Calibri" w:hAnsi="Calibri"/>
          <w:sz w:val="20"/>
          <w:szCs w:val="20"/>
        </w:rPr>
        <w:t xml:space="preserve">: a single, not-for-profit Deposit System Operator under two-ministry supervision, with all deposit funds held as pass-through liabilities in transparent escrow. </w:t>
      </w:r>
      <w:r>
        <w:rPr>
          <w:rFonts w:ascii="Calibri" w:cs="Calibri" w:hAnsi="Calibri"/>
          <w:b/>
          <w:bCs/>
          <w:sz w:val="20"/>
          <w:szCs w:val="20"/>
        </w:rPr>
        <w:t xml:space="preserve">Segen earns zero from unredeemed deposits</w:t>
      </w:r>
      <w:r>
        <w:rPr>
          <w:rFonts w:ascii="Calibri" w:cs="Calibri" w:hAnsi="Calibri"/>
          <w:sz w:val="20"/>
          <w:szCs w:val="20"/>
        </w:rPr>
        <w:t xml:space="preserve"> - its income derives exclusively from operations management and the value of recovered materials.</w:t>
      </w:r>
    </w:p>
    <w:p>
      <w:pPr>
        <w:pStyle w:val="Heading2"/>
        <w:pBdr>
          <w:bottom w:val="single" w:color="C9A227" w:sz="6" w:space="2"/>
        </w:pBdr>
        <w:spacing w:after="55" w:before="90"/>
      </w:pPr>
      <w:r>
        <w:rPr>
          <w:rFonts w:ascii="Georgia" w:cs="Georgia" w:hAnsi="Georgia"/>
          <w:b/>
          <w:bCs/>
          <w:color w:val="1B2A4A"/>
          <w:sz w:val="24"/>
          <w:szCs w:val="24"/>
        </w:rPr>
        <w:t xml:space="preserve">Headline numbers</w:t>
      </w:r>
    </w:p>
    <w:tbl>
      <w:tblPr>
        <w:tblW w:type="pct" w:w="100%"/>
        <w:tblBorders>
          <w:top w:val="single" w:color="C9A227" w:sz="6"/>
          <w:left w:val="none" w:color="FFFFFF" w:sz="0"/>
          <w:bottom w:val="single" w:color="C9A227" w:sz="6"/>
          <w:right w:val="none" w:color="FFFFFF" w:sz="0"/>
          <w:insideH w:val="single" w:color="E4DAC2" w:sz="2"/>
          <w:insideV w:val="none" w:color="FFFFFF" w:sz="0"/>
        </w:tblBorders>
      </w:tblPr>
      <w:tblGrid>
        <w:gridCol w:w="560"/>
        <w:gridCol w:w="3300"/>
        <w:gridCol w:w="6030"/>
      </w:tblGrid>
      <w:tr>
        <w:trPr>
          <w:tblHeader/>
        </w:trPr>
        <w:tc>
          <w:tcPr>
            <w:tcW w:type="dxa" w:w="560"/>
            <w:shd w:fill="1B2A4A" w:val="clear"/>
            <w:tcMar>
              <w:top w:type="dxa" w:w="45"/>
              <w:left w:type="dxa" w:w="110"/>
              <w:bottom w:type="dxa" w:w="45"/>
              <w:right w:type="dxa" w:w="110"/>
            </w:tcMar>
            <w:vAlign w:val="center"/>
          </w:tcPr>
          <w:p>
            <w:pPr>
              <w:spacing w:after="0" w:line="218"/>
              <w:jc w:val="center"/>
            </w:pPr>
            <w:r>
              <w:rPr>
                <w:rFonts w:ascii="Calibri" w:cs="Calibri" w:hAnsi="Calibri"/>
                <w:b/>
                <w:bCs/>
                <w:color w:val="FFFFFF"/>
                <w:sz w:val="19"/>
                <w:szCs w:val="19"/>
              </w:rPr>
              <w:t xml:space="preserve">#</w:t>
            </w:r>
          </w:p>
        </w:tc>
        <w:tc>
          <w:tcPr>
            <w:tcW w:type="dxa" w:w="3300"/>
            <w:shd w:fill="1B2A4A" w:val="clear"/>
            <w:tcMar>
              <w:top w:type="dxa" w:w="45"/>
              <w:left w:type="dxa" w:w="110"/>
              <w:bottom w:type="dxa" w:w="45"/>
              <w:right w:type="dxa" w:w="110"/>
            </w:tcMar>
            <w:vAlign w:val="center"/>
          </w:tcPr>
          <w:p>
            <w:pPr>
              <w:spacing w:after="0" w:line="218"/>
              <w:jc w:val="left"/>
            </w:pPr>
            <w:r>
              <w:rPr>
                <w:rFonts w:ascii="Calibri" w:cs="Calibri" w:hAnsi="Calibri"/>
                <w:b/>
                <w:bCs/>
                <w:color w:val="FFFFFF"/>
                <w:sz w:val="19"/>
                <w:szCs w:val="19"/>
              </w:rPr>
              <w:t xml:space="preserve">Metric</w:t>
            </w:r>
          </w:p>
        </w:tc>
        <w:tc>
          <w:tcPr>
            <w:tcW w:type="dxa" w:w="6030"/>
            <w:shd w:fill="1B2A4A" w:val="clear"/>
            <w:tcMar>
              <w:top w:type="dxa" w:w="45"/>
              <w:left w:type="dxa" w:w="110"/>
              <w:bottom w:type="dxa" w:w="45"/>
              <w:right w:type="dxa" w:w="110"/>
            </w:tcMar>
            <w:vAlign w:val="center"/>
          </w:tcPr>
          <w:p>
            <w:pPr>
              <w:spacing w:after="0" w:line="218"/>
              <w:jc w:val="left"/>
            </w:pPr>
            <w:r>
              <w:rPr>
                <w:rFonts w:ascii="Calibri" w:cs="Calibri" w:hAnsi="Calibri"/>
                <w:b/>
                <w:bCs/>
                <w:color w:val="FFFFFF"/>
                <w:sz w:val="19"/>
                <w:szCs w:val="19"/>
              </w:rPr>
              <w:t xml:space="preserve">Base case</w:t>
            </w:r>
          </w:p>
        </w:tc>
      </w:tr>
      <w:tr>
        <w:tc>
          <w:tcPr>
            <w:tcW w:type="dxa" w:w="560"/>
            <w:shd w:fill="FFFFFF" w:val="clear"/>
            <w:tcMar>
              <w:top w:type="dxa" w:w="45"/>
              <w:left w:type="dxa" w:w="110"/>
              <w:bottom w:type="dxa" w:w="45"/>
              <w:right w:type="dxa" w:w="110"/>
            </w:tcMar>
            <w:vAlign w:val="center"/>
          </w:tcPr>
          <w:p>
            <w:pPr>
              <w:spacing w:after="0" w:line="218"/>
              <w:jc w:val="center"/>
            </w:pPr>
            <w:r>
              <w:rPr>
                <w:rFonts w:ascii="Georgia" w:cs="Georgia" w:hAnsi="Georgia"/>
                <w:b/>
                <w:bCs/>
                <w:color w:val="C9A227"/>
                <w:sz w:val="19"/>
                <w:szCs w:val="19"/>
              </w:rPr>
              <w:t xml:space="preserve">1</w:t>
            </w:r>
          </w:p>
        </w:tc>
        <w:tc>
          <w:tcPr>
            <w:tcW w:type="dxa" w:w="3300"/>
            <w:shd w:fill="FFFFFF" w:val="clear"/>
            <w:tcMar>
              <w:top w:type="dxa" w:w="45"/>
              <w:left w:type="dxa" w:w="110"/>
              <w:bottom w:type="dxa" w:w="45"/>
              <w:right w:type="dxa" w:w="110"/>
            </w:tcMar>
            <w:vAlign w:val="center"/>
          </w:tcPr>
          <w:p>
            <w:pPr>
              <w:spacing w:after="0" w:line="218"/>
            </w:pPr>
            <w:r>
              <w:rPr>
                <w:rFonts w:ascii="Calibri" w:cs="Calibri" w:hAnsi="Calibri"/>
                <w:color w:val="1B2A4A"/>
                <w:sz w:val="19"/>
                <w:szCs w:val="19"/>
              </w:rPr>
              <w:t xml:space="preserve">Containers placed on market (2028 launch)</w:t>
            </w:r>
          </w:p>
        </w:tc>
        <w:tc>
          <w:tcPr>
            <w:tcW w:type="dxa" w:w="6030"/>
            <w:shd w:fill="FFFFFF" w:val="clear"/>
            <w:tcMar>
              <w:top w:type="dxa" w:w="45"/>
              <w:left w:type="dxa" w:w="110"/>
              <w:bottom w:type="dxa" w:w="45"/>
              <w:right w:type="dxa" w:w="110"/>
            </w:tcMar>
            <w:vAlign w:val="center"/>
          </w:tcPr>
          <w:p>
            <w:pPr>
              <w:spacing w:after="0" w:line="218"/>
            </w:pPr>
            <w:r>
              <w:rPr>
                <w:rFonts w:ascii="Calibri" w:cs="Calibri" w:hAnsi="Calibri"/>
                <w:b/>
                <w:bCs/>
                <w:color w:val="1B2A4A"/>
                <w:sz w:val="19"/>
                <w:szCs w:val="19"/>
              </w:rPr>
              <w:t xml:space="preserve">3.74 billion/yr</w:t>
            </w:r>
            <w:r>
              <w:rPr>
                <w:rFonts w:ascii="Calibri" w:cs="Calibri" w:hAnsi="Calibri"/>
                <w:color w:val="1B2A4A"/>
                <w:sz w:val="19"/>
                <w:szCs w:val="19"/>
              </w:rPr>
              <w:t xml:space="preserve"> (PET 2.90 / cans 0.66 / glass 0.18)</w:t>
            </w:r>
          </w:p>
        </w:tc>
      </w:tr>
      <w:tr>
        <w:tc>
          <w:tcPr>
            <w:tcW w:type="dxa" w:w="560"/>
            <w:shd w:fill="F5F1E8" w:val="clear"/>
            <w:tcMar>
              <w:top w:type="dxa" w:w="45"/>
              <w:left w:type="dxa" w:w="110"/>
              <w:bottom w:type="dxa" w:w="45"/>
              <w:right w:type="dxa" w:w="110"/>
            </w:tcMar>
            <w:vAlign w:val="center"/>
          </w:tcPr>
          <w:p>
            <w:pPr>
              <w:spacing w:after="0" w:line="218"/>
              <w:jc w:val="center"/>
            </w:pPr>
            <w:r>
              <w:rPr>
                <w:rFonts w:ascii="Georgia" w:cs="Georgia" w:hAnsi="Georgia"/>
                <w:b/>
                <w:bCs/>
                <w:color w:val="C9A227"/>
                <w:sz w:val="19"/>
                <w:szCs w:val="19"/>
              </w:rPr>
              <w:t xml:space="preserve">2</w:t>
            </w:r>
          </w:p>
        </w:tc>
        <w:tc>
          <w:tcPr>
            <w:tcW w:type="dxa" w:w="3300"/>
            <w:shd w:fill="F5F1E8" w:val="clear"/>
            <w:tcMar>
              <w:top w:type="dxa" w:w="45"/>
              <w:left w:type="dxa" w:w="110"/>
              <w:bottom w:type="dxa" w:w="45"/>
              <w:right w:type="dxa" w:w="110"/>
            </w:tcMar>
            <w:vAlign w:val="center"/>
          </w:tcPr>
          <w:p>
            <w:pPr>
              <w:spacing w:after="0" w:line="218"/>
            </w:pPr>
            <w:r>
              <w:rPr>
                <w:rFonts w:ascii="Calibri" w:cs="Calibri" w:hAnsi="Calibri"/>
                <w:color w:val="1B2A4A"/>
                <w:sz w:val="19"/>
                <w:szCs w:val="19"/>
              </w:rPr>
              <w:t xml:space="preserve">Total CAPEX (2026-2029, phased)</w:t>
            </w:r>
          </w:p>
        </w:tc>
        <w:tc>
          <w:tcPr>
            <w:tcW w:type="dxa" w:w="6030"/>
            <w:shd w:fill="F5F1E8" w:val="clear"/>
            <w:tcMar>
              <w:top w:type="dxa" w:w="45"/>
              <w:left w:type="dxa" w:w="110"/>
              <w:bottom w:type="dxa" w:w="45"/>
              <w:right w:type="dxa" w:w="110"/>
            </w:tcMar>
            <w:vAlign w:val="center"/>
          </w:tcPr>
          <w:p>
            <w:pPr>
              <w:spacing w:after="0" w:line="218"/>
            </w:pPr>
            <w:r>
              <w:rPr>
                <w:rFonts w:ascii="Calibri" w:cs="Calibri" w:hAnsi="Calibri"/>
                <w:b/>
                <w:bCs/>
                <w:color w:val="1B2A4A"/>
                <w:sz w:val="19"/>
                <w:szCs w:val="19"/>
              </w:rPr>
              <w:t xml:space="preserve">AED 664 million</w:t>
            </w:r>
            <w:r>
              <w:rPr>
                <w:rFonts w:ascii="Calibri" w:cs="Calibri" w:hAnsi="Calibri"/>
                <w:color w:val="1B2A4A"/>
                <w:sz w:val="19"/>
                <w:szCs w:val="19"/>
              </w:rPr>
              <w:t xml:space="preserve"> (~AED 59 per resident)</w:t>
            </w:r>
          </w:p>
        </w:tc>
      </w:tr>
      <w:tr>
        <w:tc>
          <w:tcPr>
            <w:tcW w:type="dxa" w:w="560"/>
            <w:shd w:fill="FFFFFF" w:val="clear"/>
            <w:tcMar>
              <w:top w:type="dxa" w:w="45"/>
              <w:left w:type="dxa" w:w="110"/>
              <w:bottom w:type="dxa" w:w="45"/>
              <w:right w:type="dxa" w:w="110"/>
            </w:tcMar>
            <w:vAlign w:val="center"/>
          </w:tcPr>
          <w:p>
            <w:pPr>
              <w:spacing w:after="0" w:line="218"/>
              <w:jc w:val="center"/>
            </w:pPr>
            <w:r>
              <w:rPr>
                <w:rFonts w:ascii="Georgia" w:cs="Georgia" w:hAnsi="Georgia"/>
                <w:b/>
                <w:bCs/>
                <w:color w:val="C9A227"/>
                <w:sz w:val="19"/>
                <w:szCs w:val="19"/>
              </w:rPr>
              <w:t xml:space="preserve">3</w:t>
            </w:r>
          </w:p>
        </w:tc>
        <w:tc>
          <w:tcPr>
            <w:tcW w:type="dxa" w:w="3300"/>
            <w:shd w:fill="FFFFFF" w:val="clear"/>
            <w:tcMar>
              <w:top w:type="dxa" w:w="45"/>
              <w:left w:type="dxa" w:w="110"/>
              <w:bottom w:type="dxa" w:w="45"/>
              <w:right w:type="dxa" w:w="110"/>
            </w:tcMar>
            <w:vAlign w:val="center"/>
          </w:tcPr>
          <w:p>
            <w:pPr>
              <w:spacing w:after="0" w:line="218"/>
            </w:pPr>
            <w:r>
              <w:rPr>
                <w:rFonts w:ascii="Calibri" w:cs="Calibri" w:hAnsi="Calibri"/>
                <w:color w:val="1B2A4A"/>
                <w:sz w:val="19"/>
                <w:szCs w:val="19"/>
              </w:rPr>
              <w:t xml:space="preserve">Reverse vending machine fleet</w:t>
            </w:r>
          </w:p>
        </w:tc>
        <w:tc>
          <w:tcPr>
            <w:tcW w:type="dxa" w:w="6030"/>
            <w:shd w:fill="FFFFFF" w:val="clear"/>
            <w:tcMar>
              <w:top w:type="dxa" w:w="45"/>
              <w:left w:type="dxa" w:w="110"/>
              <w:bottom w:type="dxa" w:w="45"/>
              <w:right w:type="dxa" w:w="110"/>
            </w:tcMar>
            <w:vAlign w:val="center"/>
          </w:tcPr>
          <w:p>
            <w:pPr>
              <w:spacing w:after="0" w:line="218"/>
            </w:pPr>
            <w:r>
              <w:rPr>
                <w:rFonts w:ascii="Calibri" w:cs="Calibri" w:hAnsi="Calibri"/>
                <w:b/>
                <w:bCs/>
                <w:color w:val="1B2A4A"/>
                <w:sz w:val="19"/>
                <w:szCs w:val="19"/>
              </w:rPr>
              <w:t xml:space="preserve">3,500 machines</w:t>
            </w:r>
          </w:p>
        </w:tc>
      </w:tr>
      <w:tr>
        <w:tc>
          <w:tcPr>
            <w:tcW w:type="dxa" w:w="560"/>
            <w:shd w:fill="F5F1E8" w:val="clear"/>
            <w:tcMar>
              <w:top w:type="dxa" w:w="45"/>
              <w:left w:type="dxa" w:w="110"/>
              <w:bottom w:type="dxa" w:w="45"/>
              <w:right w:type="dxa" w:w="110"/>
            </w:tcMar>
            <w:vAlign w:val="center"/>
          </w:tcPr>
          <w:p>
            <w:pPr>
              <w:spacing w:after="0" w:line="218"/>
              <w:jc w:val="center"/>
            </w:pPr>
            <w:r>
              <w:rPr>
                <w:rFonts w:ascii="Georgia" w:cs="Georgia" w:hAnsi="Georgia"/>
                <w:b/>
                <w:bCs/>
                <w:color w:val="C9A227"/>
                <w:sz w:val="19"/>
                <w:szCs w:val="19"/>
              </w:rPr>
              <w:t xml:space="preserve">4</w:t>
            </w:r>
          </w:p>
        </w:tc>
        <w:tc>
          <w:tcPr>
            <w:tcW w:type="dxa" w:w="3300"/>
            <w:shd w:fill="F5F1E8" w:val="clear"/>
            <w:tcMar>
              <w:top w:type="dxa" w:w="45"/>
              <w:left w:type="dxa" w:w="110"/>
              <w:bottom w:type="dxa" w:w="45"/>
              <w:right w:type="dxa" w:w="110"/>
            </w:tcMar>
            <w:vAlign w:val="center"/>
          </w:tcPr>
          <w:p>
            <w:pPr>
              <w:spacing w:after="0" w:line="218"/>
            </w:pPr>
            <w:r>
              <w:rPr>
                <w:rFonts w:ascii="Calibri" w:cs="Calibri" w:hAnsi="Calibri"/>
                <w:color w:val="1B2A4A"/>
                <w:sz w:val="19"/>
                <w:szCs w:val="19"/>
              </w:rPr>
              <w:t xml:space="preserve">Return-rate path</w:t>
            </w:r>
          </w:p>
        </w:tc>
        <w:tc>
          <w:tcPr>
            <w:tcW w:type="dxa" w:w="6030"/>
            <w:shd w:fill="F5F1E8" w:val="clear"/>
            <w:tcMar>
              <w:top w:type="dxa" w:w="45"/>
              <w:left w:type="dxa" w:w="110"/>
              <w:bottom w:type="dxa" w:w="45"/>
              <w:right w:type="dxa" w:w="110"/>
            </w:tcMar>
            <w:vAlign w:val="center"/>
          </w:tcPr>
          <w:p>
            <w:pPr>
              <w:spacing w:after="0" w:line="218"/>
            </w:pPr>
            <w:r>
              <w:rPr>
                <w:rFonts w:ascii="Calibri" w:cs="Calibri" w:hAnsi="Calibri"/>
                <w:color w:val="1B2A4A"/>
                <w:sz w:val="19"/>
                <w:szCs w:val="19"/>
              </w:rPr>
              <w:t xml:space="preserve">55% (year 1) → </w:t>
            </w:r>
            <w:r>
              <w:rPr>
                <w:rFonts w:ascii="Calibri" w:cs="Calibri" w:hAnsi="Calibri"/>
                <w:b/>
                <w:bCs/>
                <w:color w:val="1B2A4A"/>
                <w:sz w:val="19"/>
                <w:szCs w:val="19"/>
              </w:rPr>
              <w:t xml:space="preserve">90% by 2034</w:t>
            </w:r>
          </w:p>
        </w:tc>
      </w:tr>
      <w:tr>
        <w:tc>
          <w:tcPr>
            <w:tcW w:type="dxa" w:w="560"/>
            <w:shd w:fill="FFFFFF" w:val="clear"/>
            <w:tcMar>
              <w:top w:type="dxa" w:w="45"/>
              <w:left w:type="dxa" w:w="110"/>
              <w:bottom w:type="dxa" w:w="45"/>
              <w:right w:type="dxa" w:w="110"/>
            </w:tcMar>
            <w:vAlign w:val="center"/>
          </w:tcPr>
          <w:p>
            <w:pPr>
              <w:spacing w:after="0" w:line="218"/>
              <w:jc w:val="center"/>
            </w:pPr>
            <w:r>
              <w:rPr>
                <w:rFonts w:ascii="Georgia" w:cs="Georgia" w:hAnsi="Georgia"/>
                <w:b/>
                <w:bCs/>
                <w:color w:val="C9A227"/>
                <w:sz w:val="19"/>
                <w:szCs w:val="19"/>
              </w:rPr>
              <w:t xml:space="preserve">5</w:t>
            </w:r>
          </w:p>
        </w:tc>
        <w:tc>
          <w:tcPr>
            <w:tcW w:type="dxa" w:w="3300"/>
            <w:shd w:fill="FFFFFF" w:val="clear"/>
            <w:tcMar>
              <w:top w:type="dxa" w:w="45"/>
              <w:left w:type="dxa" w:w="110"/>
              <w:bottom w:type="dxa" w:w="45"/>
              <w:right w:type="dxa" w:w="110"/>
            </w:tcMar>
            <w:vAlign w:val="center"/>
          </w:tcPr>
          <w:p>
            <w:pPr>
              <w:spacing w:after="0" w:line="218"/>
            </w:pPr>
            <w:r>
              <w:rPr>
                <w:rFonts w:ascii="Calibri" w:cs="Calibri" w:hAnsi="Calibri"/>
                <w:color w:val="1B2A4A"/>
                <w:sz w:val="19"/>
                <w:szCs w:val="19"/>
              </w:rPr>
              <w:t xml:space="preserve">System project IRR (unlevered)</w:t>
            </w:r>
          </w:p>
        </w:tc>
        <w:tc>
          <w:tcPr>
            <w:tcW w:type="dxa" w:w="6030"/>
            <w:shd w:fill="FFFFFF" w:val="clear"/>
            <w:tcMar>
              <w:top w:type="dxa" w:w="45"/>
              <w:left w:type="dxa" w:w="110"/>
              <w:bottom w:type="dxa" w:w="45"/>
              <w:right w:type="dxa" w:w="110"/>
            </w:tcMar>
            <w:vAlign w:val="center"/>
          </w:tcPr>
          <w:p>
            <w:pPr>
              <w:spacing w:after="0" w:line="218"/>
            </w:pPr>
            <w:r>
              <w:rPr>
                <w:rFonts w:ascii="Calibri" w:cs="Calibri" w:hAnsi="Calibri"/>
                <w:b/>
                <w:bCs/>
                <w:color w:val="1B2A4A"/>
                <w:sz w:val="19"/>
                <w:szCs w:val="19"/>
              </w:rPr>
              <w:t xml:space="preserve">27.7%</w:t>
            </w:r>
          </w:p>
        </w:tc>
      </w:tr>
      <w:tr>
        <w:tc>
          <w:tcPr>
            <w:tcW w:type="dxa" w:w="560"/>
            <w:shd w:fill="F5F1E8" w:val="clear"/>
            <w:tcMar>
              <w:top w:type="dxa" w:w="45"/>
              <w:left w:type="dxa" w:w="110"/>
              <w:bottom w:type="dxa" w:w="45"/>
              <w:right w:type="dxa" w:w="110"/>
            </w:tcMar>
            <w:vAlign w:val="center"/>
          </w:tcPr>
          <w:p>
            <w:pPr>
              <w:spacing w:after="0" w:line="218"/>
              <w:jc w:val="center"/>
            </w:pPr>
            <w:r>
              <w:rPr>
                <w:rFonts w:ascii="Georgia" w:cs="Georgia" w:hAnsi="Georgia"/>
                <w:b/>
                <w:bCs/>
                <w:color w:val="C9A227"/>
                <w:sz w:val="19"/>
                <w:szCs w:val="19"/>
              </w:rPr>
              <w:t xml:space="preserve">6</w:t>
            </w:r>
          </w:p>
        </w:tc>
        <w:tc>
          <w:tcPr>
            <w:tcW w:type="dxa" w:w="3300"/>
            <w:shd w:fill="F5F1E8" w:val="clear"/>
            <w:tcMar>
              <w:top w:type="dxa" w:w="45"/>
              <w:left w:type="dxa" w:w="110"/>
              <w:bottom w:type="dxa" w:w="45"/>
              <w:right w:type="dxa" w:w="110"/>
            </w:tcMar>
            <w:vAlign w:val="center"/>
          </w:tcPr>
          <w:p>
            <w:pPr>
              <w:spacing w:after="0" w:line="218"/>
            </w:pPr>
            <w:r>
              <w:rPr>
                <w:rFonts w:ascii="Calibri" w:cs="Calibri" w:hAnsi="Calibri"/>
                <w:color w:val="1B2A4A"/>
                <w:sz w:val="19"/>
                <w:szCs w:val="19"/>
              </w:rPr>
              <w:t xml:space="preserve">NPV @ 8% discount rate</w:t>
            </w:r>
          </w:p>
        </w:tc>
        <w:tc>
          <w:tcPr>
            <w:tcW w:type="dxa" w:w="6030"/>
            <w:shd w:fill="F5F1E8" w:val="clear"/>
            <w:tcMar>
              <w:top w:type="dxa" w:w="45"/>
              <w:left w:type="dxa" w:w="110"/>
              <w:bottom w:type="dxa" w:w="45"/>
              <w:right w:type="dxa" w:w="110"/>
            </w:tcMar>
            <w:vAlign w:val="center"/>
          </w:tcPr>
          <w:p>
            <w:pPr>
              <w:spacing w:after="0" w:line="218"/>
            </w:pPr>
            <w:r>
              <w:rPr>
                <w:rFonts w:ascii="Calibri" w:cs="Calibri" w:hAnsi="Calibri"/>
                <w:b/>
                <w:bCs/>
                <w:color w:val="1B2A4A"/>
                <w:sz w:val="19"/>
                <w:szCs w:val="19"/>
              </w:rPr>
              <w:t xml:space="preserve">+AED 349 million</w:t>
            </w:r>
          </w:p>
        </w:tc>
      </w:tr>
      <w:tr>
        <w:tc>
          <w:tcPr>
            <w:tcW w:type="dxa" w:w="560"/>
            <w:shd w:fill="FFFFFF" w:val="clear"/>
            <w:tcMar>
              <w:top w:type="dxa" w:w="45"/>
              <w:left w:type="dxa" w:w="110"/>
              <w:bottom w:type="dxa" w:w="45"/>
              <w:right w:type="dxa" w:w="110"/>
            </w:tcMar>
            <w:vAlign w:val="center"/>
          </w:tcPr>
          <w:p>
            <w:pPr>
              <w:spacing w:after="0" w:line="218"/>
              <w:jc w:val="center"/>
            </w:pPr>
            <w:r>
              <w:rPr>
                <w:rFonts w:ascii="Georgia" w:cs="Georgia" w:hAnsi="Georgia"/>
                <w:b/>
                <w:bCs/>
                <w:color w:val="C9A227"/>
                <w:sz w:val="19"/>
                <w:szCs w:val="19"/>
              </w:rPr>
              <w:t xml:space="preserve">7</w:t>
            </w:r>
          </w:p>
        </w:tc>
        <w:tc>
          <w:tcPr>
            <w:tcW w:type="dxa" w:w="3300"/>
            <w:shd w:fill="FFFFFF" w:val="clear"/>
            <w:tcMar>
              <w:top w:type="dxa" w:w="45"/>
              <w:left w:type="dxa" w:w="110"/>
              <w:bottom w:type="dxa" w:w="45"/>
              <w:right w:type="dxa" w:w="110"/>
            </w:tcMar>
            <w:vAlign w:val="center"/>
          </w:tcPr>
          <w:p>
            <w:pPr>
              <w:spacing w:after="0" w:line="218"/>
            </w:pPr>
            <w:r>
              <w:rPr>
                <w:rFonts w:ascii="Calibri" w:cs="Calibri" w:hAnsi="Calibri"/>
                <w:color w:val="1B2A4A"/>
                <w:sz w:val="19"/>
                <w:szCs w:val="19"/>
              </w:rPr>
              <w:t xml:space="preserve">Payback / peak funding need</w:t>
            </w:r>
          </w:p>
        </w:tc>
        <w:tc>
          <w:tcPr>
            <w:tcW w:type="dxa" w:w="6030"/>
            <w:shd w:fill="FFFFFF" w:val="clear"/>
            <w:tcMar>
              <w:top w:type="dxa" w:w="45"/>
              <w:left w:type="dxa" w:w="110"/>
              <w:bottom w:type="dxa" w:w="45"/>
              <w:right w:type="dxa" w:w="110"/>
            </w:tcMar>
            <w:vAlign w:val="center"/>
          </w:tcPr>
          <w:p>
            <w:pPr>
              <w:spacing w:after="0" w:line="218"/>
            </w:pPr>
            <w:r>
              <w:rPr>
                <w:rFonts w:ascii="Calibri" w:cs="Calibri" w:hAnsi="Calibri"/>
                <w:b/>
                <w:bCs/>
                <w:color w:val="1B2A4A"/>
                <w:sz w:val="19"/>
                <w:szCs w:val="19"/>
              </w:rPr>
              <w:t xml:space="preserve">2031 / AED 294 million</w:t>
            </w:r>
          </w:p>
        </w:tc>
      </w:tr>
      <w:tr>
        <w:tc>
          <w:tcPr>
            <w:tcW w:type="dxa" w:w="560"/>
            <w:shd w:fill="F5F1E8" w:val="clear"/>
            <w:tcMar>
              <w:top w:type="dxa" w:w="45"/>
              <w:left w:type="dxa" w:w="110"/>
              <w:bottom w:type="dxa" w:w="45"/>
              <w:right w:type="dxa" w:w="110"/>
            </w:tcMar>
            <w:vAlign w:val="center"/>
          </w:tcPr>
          <w:p>
            <w:pPr>
              <w:spacing w:after="0" w:line="218"/>
              <w:jc w:val="center"/>
            </w:pPr>
            <w:r>
              <w:rPr>
                <w:rFonts w:ascii="Georgia" w:cs="Georgia" w:hAnsi="Georgia"/>
                <w:b/>
                <w:bCs/>
                <w:color w:val="C9A227"/>
                <w:sz w:val="19"/>
                <w:szCs w:val="19"/>
              </w:rPr>
              <w:t xml:space="preserve">8</w:t>
            </w:r>
          </w:p>
        </w:tc>
        <w:tc>
          <w:tcPr>
            <w:tcW w:type="dxa" w:w="3300"/>
            <w:shd w:fill="F5F1E8" w:val="clear"/>
            <w:tcMar>
              <w:top w:type="dxa" w:w="45"/>
              <w:left w:type="dxa" w:w="110"/>
              <w:bottom w:type="dxa" w:w="45"/>
              <w:right w:type="dxa" w:w="110"/>
            </w:tcMar>
            <w:vAlign w:val="center"/>
          </w:tcPr>
          <w:p>
            <w:pPr>
              <w:spacing w:after="0" w:line="218"/>
            </w:pPr>
            <w:r>
              <w:rPr>
                <w:rFonts w:ascii="Calibri" w:cs="Calibri" w:hAnsi="Calibri"/>
                <w:color w:val="1B2A4A"/>
                <w:sz w:val="19"/>
                <w:szCs w:val="19"/>
              </w:rPr>
              <w:t xml:space="preserve">Employment</w:t>
            </w:r>
          </w:p>
        </w:tc>
        <w:tc>
          <w:tcPr>
            <w:tcW w:type="dxa" w:w="6030"/>
            <w:shd w:fill="F5F1E8" w:val="clear"/>
            <w:tcMar>
              <w:top w:type="dxa" w:w="45"/>
              <w:left w:type="dxa" w:w="110"/>
              <w:bottom w:type="dxa" w:w="45"/>
              <w:right w:type="dxa" w:w="110"/>
            </w:tcMar>
            <w:vAlign w:val="center"/>
          </w:tcPr>
          <w:p>
            <w:pPr>
              <w:spacing w:after="0" w:line="218"/>
            </w:pPr>
            <w:r>
              <w:rPr>
                <w:rFonts w:ascii="Calibri" w:cs="Calibri" w:hAnsi="Calibri"/>
                <w:b/>
                <w:bCs/>
                <w:color w:val="1B2A4A"/>
                <w:sz w:val="19"/>
                <w:szCs w:val="19"/>
              </w:rPr>
              <w:t xml:space="preserve">~1,200-1,500 jobs</w:t>
            </w:r>
          </w:p>
        </w:tc>
      </w:tr>
    </w:tbl>
    <w:p>
      <w:pPr>
        <w:spacing w:after="0" w:before="40" w:line="220"/>
      </w:pPr>
      <w:r>
        <w:rPr>
          <w:rFonts w:ascii="Calibri" w:cs="Calibri" w:hAnsi="Calibri"/>
          <w:i/>
          <w:iCs/>
          <w:color w:val="4A6580"/>
          <w:sz w:val="16"/>
          <w:szCs w:val="16"/>
        </w:rPr>
        <w:t xml:space="preserve">All figures per the study's financial model (R7 assumptions memo, 2026). The year-1 deposit float (~AED 935 million gross) is escrowed consumer money - a memo item, never revenue. PET volumes are modelled, pending producer/importer validation.</w:t>
      </w:r>
    </w:p>
    <w:p>
      <w:pPr>
        <w:pStyle w:val="Heading2"/>
        <w:pageBreakBefore/>
        <w:pBdr>
          <w:bottom w:val="single" w:color="C9A227" w:sz="6" w:space="2"/>
        </w:pBdr>
        <w:spacing w:after="55" w:before="90"/>
      </w:pPr>
      <w:r>
        <w:rPr>
          <w:rFonts w:ascii="Georgia" w:cs="Georgia" w:hAnsi="Georgia"/>
          <w:b/>
          <w:bCs/>
          <w:color w:val="1B2A4A"/>
          <w:sz w:val="24"/>
          <w:szCs w:val="24"/>
        </w:rPr>
        <w:t xml:space="preserve">Strategic alignment</w:t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945"/>
        <w:gridCol w:w="4945"/>
      </w:tblGrid>
      <w:tr>
        <w:tc>
          <w:tcPr>
            <w:tcW w:type="dxa" w:w="4945"/>
            <w:tcMar>
              <w:top w:type="dxa" w:w="20"/>
              <w:left w:type="dxa" w:w="0"/>
              <w:bottom w:type="dxa" w:w="20"/>
              <w:right w:type="dxa" w:w="160"/>
            </w:tcMar>
          </w:tcPr>
          <w:p>
            <w:pPr>
              <w:spacing w:after="35" w:line="220"/>
              <w:ind w:left="200" w:hanging="200"/>
            </w:pPr>
            <w:r>
              <w:rPr>
                <w:rFonts w:ascii="Calibri" w:cs="Calibri" w:hAnsi="Calibri"/>
                <w:b/>
                <w:bCs/>
                <w:color w:val="C9A227"/>
                <w:sz w:val="18"/>
                <w:szCs w:val="18"/>
              </w:rPr>
              <w:t xml:space="preserve">▪ </w:t>
            </w:r>
            <w:r>
              <w:rPr>
                <w:rFonts w:ascii="Calibri" w:cs="Calibri" w:hAnsi="Calibri"/>
                <w:b/>
                <w:bCs/>
                <w:sz w:val="18"/>
                <w:szCs w:val="18"/>
              </w:rPr>
              <w:t xml:space="preserve">UAE Circular Economy Policy 2021-2031</w:t>
            </w:r>
            <w:r>
              <w:rPr>
                <w:rFonts w:ascii="Calibri" w:cs="Calibri" w:hAnsi="Calibri"/>
                <w:sz w:val="18"/>
                <w:szCs w:val="18"/>
              </w:rPr>
              <w:t xml:space="preserve"> - delivers the policy's missing operational loop: clean, food-grade recyclate returned to domestic manufacturing, with a ready-made governance home in the Circular Economy Council.</w:t>
            </w:r>
          </w:p>
        </w:tc>
        <w:tc>
          <w:tcPr>
            <w:tcW w:type="dxa" w:w="4945"/>
            <w:tcMar>
              <w:top w:type="dxa" w:w="20"/>
              <w:left w:type="dxa" w:w="160"/>
              <w:bottom w:type="dxa" w:w="20"/>
              <w:right w:type="dxa" w:w="0"/>
            </w:tcMar>
          </w:tcPr>
          <w:p>
            <w:pPr>
              <w:spacing w:after="35" w:line="220"/>
              <w:ind w:left="200" w:hanging="200"/>
            </w:pPr>
            <w:r>
              <w:rPr>
                <w:rFonts w:ascii="Calibri" w:cs="Calibri" w:hAnsi="Calibri"/>
                <w:b/>
                <w:bCs/>
                <w:color w:val="C9A227"/>
                <w:sz w:val="18"/>
                <w:szCs w:val="18"/>
              </w:rPr>
              <w:t xml:space="preserve">▪ </w:t>
            </w:r>
            <w:r>
              <w:rPr>
                <w:rFonts w:ascii="Calibri" w:cs="Calibri" w:hAnsi="Calibri"/>
                <w:b/>
                <w:bCs/>
                <w:sz w:val="18"/>
                <w:szCs w:val="18"/>
              </w:rPr>
              <w:t xml:space="preserve">Net Zero 2050 and NDC 3.0 (−47% GHG by 2035)</w:t>
            </w:r>
            <w:r>
              <w:rPr>
                <w:rFonts w:ascii="Calibri" w:cs="Calibri" w:hAnsi="Calibri"/>
                <w:sz w:val="18"/>
                <w:szCs w:val="18"/>
              </w:rPr>
              <w:t xml:space="preserve"> - a quantified, annually reported waste-sector contribution with audit-grade MRV data under the 2024 Climate Change Law.</w:t>
            </w:r>
          </w:p>
        </w:tc>
      </w:tr>
      <w:tr>
        <w:tc>
          <w:tcPr>
            <w:tcW w:type="dxa" w:w="4945"/>
            <w:tcMar>
              <w:top w:type="dxa" w:w="20"/>
              <w:left w:type="dxa" w:w="0"/>
              <w:bottom w:type="dxa" w:w="20"/>
              <w:right w:type="dxa" w:w="160"/>
            </w:tcMar>
          </w:tcPr>
          <w:p>
            <w:pPr>
              <w:spacing w:after="35" w:line="220"/>
              <w:ind w:left="200" w:hanging="200"/>
            </w:pPr>
            <w:r>
              <w:rPr>
                <w:rFonts w:ascii="Calibri" w:cs="Calibri" w:hAnsi="Calibri"/>
                <w:b/>
                <w:bCs/>
                <w:color w:val="C9A227"/>
                <w:sz w:val="18"/>
                <w:szCs w:val="18"/>
              </w:rPr>
              <w:t xml:space="preserve">▪ </w:t>
            </w:r>
            <w:r>
              <w:rPr>
                <w:rFonts w:ascii="Calibri" w:cs="Calibri" w:hAnsi="Calibri"/>
                <w:b/>
                <w:bCs/>
                <w:sz w:val="18"/>
                <w:szCs w:val="18"/>
              </w:rPr>
              <w:t xml:space="preserve">The 2025 MOCCAE-Tadweer EPR pilot</w:t>
            </w:r>
            <w:r>
              <w:rPr>
                <w:rFonts w:ascii="Calibri" w:cs="Calibri" w:hAnsi="Calibri"/>
                <w:sz w:val="18"/>
                <w:szCs w:val="18"/>
              </w:rPr>
              <w:t xml:space="preserve"> - the DRS nests directly into the pilot's producer-registration and reporting machinery; DRS producer fees discharge EPR obligations for beverage containers, with no double-charging.</w:t>
            </w:r>
          </w:p>
        </w:tc>
        <w:tc>
          <w:tcPr>
            <w:tcW w:type="dxa" w:w="4945"/>
            <w:tcMar>
              <w:top w:type="dxa" w:w="20"/>
              <w:left w:type="dxa" w:w="160"/>
              <w:bottom w:type="dxa" w:w="20"/>
              <w:right w:type="dxa" w:w="0"/>
            </w:tcMar>
          </w:tcPr>
          <w:p>
            <w:pPr>
              <w:spacing w:after="35" w:line="220"/>
              <w:ind w:left="200" w:hanging="200"/>
            </w:pPr>
            <w:r>
              <w:rPr>
                <w:rFonts w:ascii="Calibri" w:cs="Calibri" w:hAnsi="Calibri"/>
                <w:b/>
                <w:bCs/>
                <w:color w:val="C9A227"/>
                <w:sz w:val="18"/>
                <w:szCs w:val="18"/>
              </w:rPr>
              <w:t xml:space="preserve">▪ </w:t>
            </w:r>
            <w:r>
              <w:rPr>
                <w:rFonts w:ascii="Calibri" w:cs="Calibri" w:hAnsi="Calibri"/>
                <w:b/>
                <w:bCs/>
                <w:sz w:val="18"/>
                <w:szCs w:val="18"/>
              </w:rPr>
              <w:t xml:space="preserve">Regional first mover</w:t>
            </w:r>
            <w:r>
              <w:rPr>
                <w:rFonts w:ascii="Calibri" w:cs="Calibri" w:hAnsi="Calibri"/>
                <w:sz w:val="18"/>
                <w:szCs w:val="18"/>
              </w:rPr>
              <w:t xml:space="preserve"> - the first national, legislated DRS in the GCC; Abu Dhabi's EAD Bottle Return Scheme (23 million units collected in 2024, 100+ RVMs, 2,000+ tonnes recovered since launch) has already proven UAE consumer acceptance - without any deposit.</w:t>
            </w:r>
          </w:p>
        </w:tc>
      </w:tr>
    </w:tbl>
    <w:p>
      <w:pPr>
        <w:spacing w:after="0" w:before="30"/>
        <w:jc w:val="center"/>
      </w:pPr>
      <w:r>
        <w:drawing>
          <wp:inline distT="0" distB="0" distL="0" distR="0">
            <wp:extent cx="4191000" cy="15049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60" w:before="20"/>
      </w:pPr>
      <w:r>
        <w:rPr>
          <w:rFonts w:ascii="Calibri" w:cs="Calibri" w:hAnsi="Calibri"/>
          <w:i/>
          <w:iCs/>
          <w:color w:val="4A6580"/>
          <w:sz w:val="16"/>
          <w:szCs w:val="16"/>
        </w:rPr>
        <w:t xml:space="preserve">The UAE at a glance - population, consumption intensity and disposal economics (data: R3/R5 market research; full source notes on chart).</w:t>
      </w:r>
    </w:p>
    <w:p>
      <w:pPr>
        <w:pStyle w:val="Heading2"/>
        <w:pBdr>
          <w:bottom w:val="single" w:color="C9A227" w:sz="6" w:space="2"/>
        </w:pBdr>
        <w:spacing w:after="55" w:before="90"/>
      </w:pPr>
      <w:r>
        <w:rPr>
          <w:rFonts w:ascii="Georgia" w:cs="Georgia" w:hAnsi="Georgia"/>
          <w:b/>
          <w:bCs/>
          <w:color w:val="1B2A4A"/>
          <w:sz w:val="24"/>
          <w:szCs w:val="24"/>
        </w:rPr>
        <w:t xml:space="preserve">The ask</w:t>
      </w:r>
    </w:p>
    <w:p>
      <w:pPr>
        <w:spacing w:after="60"/>
      </w:pPr>
      <w:r>
        <w:rPr>
          <w:rFonts w:ascii="Calibri" w:cs="Calibri" w:hAnsi="Calibri"/>
          <w:sz w:val="20"/>
          <w:szCs w:val="20"/>
        </w:rPr>
        <w:t xml:space="preserve">This study respectfully requests that the Ministry of Economy &amp; Tourism and the Ministry of Climate Change &amp; Environment:</w:t>
      </w:r>
    </w:p>
    <w:tbl>
      <w:tblPr>
        <w:tblW w:type="pct" w:w="100%"/>
        <w:tblBorders>
          <w:top w:val="single" w:color="C9A227" w:sz="10"/>
          <w:left w:val="single" w:color="C9A227" w:sz="10"/>
          <w:bottom w:val="single" w:color="C9A227" w:sz="10"/>
          <w:right w:val="single" w:color="C9A227" w:sz="10"/>
          <w:insideH w:val="single" w:color="C9A227" w:sz="2"/>
          <w:insideV w:val="none" w:color="FFFFFF" w:sz="0"/>
        </w:tblBorders>
      </w:tblPr>
      <w:tblGrid>
        <w:gridCol w:w="640"/>
        <w:gridCol w:w="9250"/>
      </w:tblGrid>
      <w:tr>
        <w:tc>
          <w:tcPr>
            <w:tcW w:type="dxa" w:w="640"/>
            <w:shd w:fill="1B2A4A" w:val="clear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spacing w:after="0" w:line="218"/>
              <w:jc w:val="center"/>
            </w:pPr>
            <w:r>
              <w:rPr>
                <w:rFonts w:ascii="Georgia" w:cs="Georgia" w:hAnsi="Georgia"/>
                <w:b/>
                <w:bCs/>
                <w:color w:val="FFFFFF"/>
                <w:sz w:val="24"/>
                <w:szCs w:val="24"/>
              </w:rPr>
              <w:t xml:space="preserve">1</w:t>
            </w:r>
          </w:p>
        </w:tc>
        <w:tc>
          <w:tcPr>
            <w:tcW w:type="dxa" w:w="9250"/>
            <w:shd w:fill="F5F1E8" w:val="clear"/>
            <w:tcMar>
              <w:top w:type="dxa" w:w="40"/>
              <w:left w:type="dxa" w:w="140"/>
              <w:bottom w:type="dxa" w:w="40"/>
              <w:right w:type="dxa" w:w="140"/>
            </w:tcMar>
            <w:vAlign w:val="center"/>
          </w:tcPr>
          <w:p>
            <w:pPr>
              <w:spacing w:after="0" w:line="220"/>
              <w:jc w:val="both"/>
            </w:pPr>
            <w:r>
              <w:rPr>
                <w:rFonts w:ascii="Calibri" w:cs="Calibri" w:hAnsi="Calibri"/>
                <w:b/>
                <w:bCs/>
                <w:color w:val="1B2A4A"/>
                <w:sz w:val="18"/>
                <w:szCs w:val="18"/>
              </w:rPr>
              <w:t xml:space="preserve">Adopt the DRS</w:t>
            </w:r>
            <w:r>
              <w:rPr>
                <w:rFonts w:ascii="Calibri" w:cs="Calibri" w:hAnsi="Calibri"/>
                <w:color w:val="1B2A4A"/>
                <w:sz w:val="18"/>
                <w:szCs w:val="18"/>
              </w:rPr>
              <w:t xml:space="preserve"> as the beverage-container instrument of the national Extended Producer Responsibility framework, building directly on the 2025 MOCCAE-Tadweer pilot;</w:t>
            </w:r>
          </w:p>
        </w:tc>
      </w:tr>
      <w:tr>
        <w:tc>
          <w:tcPr>
            <w:tcW w:type="dxa" w:w="640"/>
            <w:shd w:fill="1B2A4A" w:val="clear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spacing w:after="0" w:line="218"/>
              <w:jc w:val="center"/>
            </w:pPr>
            <w:r>
              <w:rPr>
                <w:rFonts w:ascii="Georgia" w:cs="Georgia" w:hAnsi="Georgia"/>
                <w:b/>
                <w:bCs/>
                <w:color w:val="FFFFFF"/>
                <w:sz w:val="24"/>
                <w:szCs w:val="24"/>
              </w:rPr>
              <w:t xml:space="preserve">2</w:t>
            </w:r>
          </w:p>
        </w:tc>
        <w:tc>
          <w:tcPr>
            <w:tcW w:type="dxa" w:w="9250"/>
            <w:shd w:fill="F5F1E8" w:val="clear"/>
            <w:tcMar>
              <w:top w:type="dxa" w:w="40"/>
              <w:left w:type="dxa" w:w="140"/>
              <w:bottom w:type="dxa" w:w="40"/>
              <w:right w:type="dxa" w:w="140"/>
            </w:tcMar>
            <w:vAlign w:val="center"/>
          </w:tcPr>
          <w:p>
            <w:pPr>
              <w:spacing w:after="0" w:line="220"/>
              <w:jc w:val="both"/>
            </w:pPr>
            <w:r>
              <w:rPr>
                <w:rFonts w:ascii="Calibri" w:cs="Calibri" w:hAnsi="Calibri"/>
                <w:b/>
                <w:bCs/>
                <w:color w:val="1B2A4A"/>
                <w:sz w:val="18"/>
                <w:szCs w:val="18"/>
              </w:rPr>
              <w:t xml:space="preserve">Sponsor enabling legislation</w:t>
            </w:r>
            <w:r>
              <w:rPr>
                <w:rFonts w:ascii="Calibri" w:cs="Calibri" w:hAnsi="Calibri"/>
                <w:color w:val="1B2A4A"/>
                <w:sz w:val="18"/>
                <w:szCs w:val="18"/>
              </w:rPr>
              <w:t xml:space="preserve"> - a Cabinet Resolution under Federal Law No. 12 of 2018 establishing the deposit, the system-operator licence and the escrow regime for unredeemed deposits; international experience indicates </w:t>
            </w:r>
            <w:r>
              <w:rPr>
                <w:rFonts w:ascii="Calibri" w:cs="Calibri" w:hAnsi="Calibri"/>
                <w:b/>
                <w:bCs/>
                <w:color w:val="1B2A4A"/>
                <w:sz w:val="18"/>
                <w:szCs w:val="18"/>
              </w:rPr>
              <w:t xml:space="preserve">18-24 months from political decision to go-live</w:t>
            </w:r>
            <w:r>
              <w:rPr>
                <w:rFonts w:ascii="Calibri" w:cs="Calibri" w:hAnsi="Calibri"/>
                <w:color w:val="1B2A4A"/>
                <w:sz w:val="18"/>
                <w:szCs w:val="18"/>
              </w:rPr>
              <w:t xml:space="preserve">, supporting a 2028 national launch;</w:t>
            </w:r>
          </w:p>
        </w:tc>
      </w:tr>
      <w:tr>
        <w:tc>
          <w:tcPr>
            <w:tcW w:type="dxa" w:w="640"/>
            <w:shd w:fill="1B2A4A" w:val="clear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spacing w:after="0" w:line="218"/>
              <w:jc w:val="center"/>
            </w:pPr>
            <w:r>
              <w:rPr>
                <w:rFonts w:ascii="Georgia" w:cs="Georgia" w:hAnsi="Georgia"/>
                <w:b/>
                <w:bCs/>
                <w:color w:val="FFFFFF"/>
                <w:sz w:val="24"/>
                <w:szCs w:val="24"/>
              </w:rPr>
              <w:t xml:space="preserve">3</w:t>
            </w:r>
          </w:p>
        </w:tc>
        <w:tc>
          <w:tcPr>
            <w:tcW w:type="dxa" w:w="9250"/>
            <w:shd w:fill="F5F1E8" w:val="clear"/>
            <w:tcMar>
              <w:top w:type="dxa" w:w="40"/>
              <w:left w:type="dxa" w:w="140"/>
              <w:bottom w:type="dxa" w:w="40"/>
              <w:right w:type="dxa" w:w="140"/>
            </w:tcMar>
            <w:vAlign w:val="center"/>
          </w:tcPr>
          <w:p>
            <w:pPr>
              <w:spacing w:after="0" w:line="220"/>
              <w:jc w:val="both"/>
            </w:pPr>
            <w:r>
              <w:rPr>
                <w:rFonts w:ascii="Calibri" w:cs="Calibri" w:hAnsi="Calibri"/>
                <w:b/>
                <w:bCs/>
                <w:color w:val="1B2A4A"/>
                <w:sz w:val="18"/>
                <w:szCs w:val="18"/>
              </w:rPr>
              <w:t xml:space="preserve">Stand up a joint ministerial programme office</w:t>
            </w:r>
            <w:r>
              <w:rPr>
                <w:rFonts w:ascii="Calibri" w:cs="Calibri" w:hAnsi="Calibri"/>
                <w:color w:val="1B2A4A"/>
                <w:sz w:val="18"/>
                <w:szCs w:val="18"/>
              </w:rPr>
              <w:t xml:space="preserve"> in H2 2026 to run mobilisation (Phase 0): drafting instructions, emirate engagement and structured stakeholder consultation;</w:t>
            </w:r>
          </w:p>
        </w:tc>
      </w:tr>
      <w:tr>
        <w:tc>
          <w:tcPr>
            <w:tcW w:type="dxa" w:w="640"/>
            <w:shd w:fill="1B2A4A" w:val="clear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spacing w:after="0" w:line="218"/>
              <w:jc w:val="center"/>
            </w:pPr>
            <w:r>
              <w:rPr>
                <w:rFonts w:ascii="Georgia" w:cs="Georgia" w:hAnsi="Georgia"/>
                <w:b/>
                <w:bCs/>
                <w:color w:val="FFFFFF"/>
                <w:sz w:val="24"/>
                <w:szCs w:val="24"/>
              </w:rPr>
              <w:t xml:space="preserve">4</w:t>
            </w:r>
          </w:p>
        </w:tc>
        <w:tc>
          <w:tcPr>
            <w:tcW w:type="dxa" w:w="9250"/>
            <w:shd w:fill="F5F1E8" w:val="clear"/>
            <w:tcMar>
              <w:top w:type="dxa" w:w="40"/>
              <w:left w:type="dxa" w:w="140"/>
              <w:bottom w:type="dxa" w:w="40"/>
              <w:right w:type="dxa" w:w="140"/>
            </w:tcMar>
            <w:vAlign w:val="center"/>
          </w:tcPr>
          <w:p>
            <w:pPr>
              <w:spacing w:after="0" w:line="220"/>
              <w:jc w:val="both"/>
            </w:pPr>
            <w:r>
              <w:rPr>
                <w:rFonts w:ascii="Calibri" w:cs="Calibri" w:hAnsi="Calibri"/>
                <w:b/>
                <w:bCs/>
                <w:color w:val="1B2A4A"/>
                <w:sz w:val="18"/>
                <w:szCs w:val="18"/>
              </w:rPr>
              <w:t xml:space="preserve">Convene producers, importers and retailers</w:t>
            </w:r>
            <w:r>
              <w:rPr>
                <w:rFonts w:ascii="Calibri" w:cs="Calibri" w:hAnsi="Calibri"/>
                <w:color w:val="1B2A4A"/>
                <w:sz w:val="18"/>
                <w:szCs w:val="18"/>
              </w:rPr>
              <w:t xml:space="preserve"> into a design working group under the UAE Circular Economy Council, so the final deposit level, fee schedule and return-network obligations are set with - not for - industry;</w:t>
            </w:r>
          </w:p>
        </w:tc>
      </w:tr>
      <w:tr>
        <w:tc>
          <w:tcPr>
            <w:tcW w:type="dxa" w:w="640"/>
            <w:shd w:fill="1B2A4A" w:val="clear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spacing w:after="0" w:line="218"/>
              <w:jc w:val="center"/>
            </w:pPr>
            <w:r>
              <w:rPr>
                <w:rFonts w:ascii="Georgia" w:cs="Georgia" w:hAnsi="Georgia"/>
                <w:b/>
                <w:bCs/>
                <w:color w:val="FFFFFF"/>
                <w:sz w:val="24"/>
                <w:szCs w:val="24"/>
              </w:rPr>
              <w:t xml:space="preserve">5</w:t>
            </w:r>
          </w:p>
        </w:tc>
        <w:tc>
          <w:tcPr>
            <w:tcW w:type="dxa" w:w="9250"/>
            <w:shd w:fill="F5F1E8" w:val="clear"/>
            <w:tcMar>
              <w:top w:type="dxa" w:w="40"/>
              <w:left w:type="dxa" w:w="140"/>
              <w:bottom w:type="dxa" w:w="40"/>
              <w:right w:type="dxa" w:w="140"/>
            </w:tcMar>
            <w:vAlign w:val="center"/>
          </w:tcPr>
          <w:p>
            <w:pPr>
              <w:spacing w:after="0" w:line="220"/>
              <w:jc w:val="both"/>
            </w:pPr>
            <w:r>
              <w:rPr>
                <w:rFonts w:ascii="Calibri" w:cs="Calibri" w:hAnsi="Calibri"/>
                <w:b/>
                <w:bCs/>
                <w:color w:val="1B2A4A"/>
                <w:sz w:val="18"/>
                <w:szCs w:val="18"/>
              </w:rPr>
              <w:t xml:space="preserve">Commission validation of container volumes</w:t>
            </w:r>
            <w:r>
              <w:rPr>
                <w:rFonts w:ascii="Calibri" w:cs="Calibri" w:hAnsi="Calibri"/>
                <w:color w:val="1B2A4A"/>
                <w:sz w:val="18"/>
                <w:szCs w:val="18"/>
              </w:rPr>
              <w:t xml:space="preserve"> through mandatory producer/importer SKU-level reporting, converting this study's modelled estimates into a verified statutory baseline before fees are fixed.</w:t>
            </w:r>
          </w:p>
        </w:tc>
      </w:tr>
    </w:tbl>
    <w:p>
      <w:pPr>
        <w:pStyle w:val="Heading2"/>
        <w:pBdr>
          <w:bottom w:val="single" w:color="C9A227" w:sz="6" w:space="2"/>
        </w:pBdr>
        <w:spacing w:after="55" w:before="90"/>
      </w:pPr>
      <w:r>
        <w:rPr>
          <w:rFonts w:ascii="Georgia" w:cs="Georgia" w:hAnsi="Georgia"/>
          <w:b/>
          <w:bCs/>
          <w:color w:val="1B2A4A"/>
          <w:sz w:val="24"/>
          <w:szCs w:val="24"/>
        </w:rPr>
        <w:t xml:space="preserve">Why Segen × Earth Care</w:t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945"/>
        <w:gridCol w:w="4945"/>
      </w:tblGrid>
      <w:tr>
        <w:tc>
          <w:tcPr>
            <w:tcW w:type="dxa" w:w="4945"/>
            <w:tcMar>
              <w:top w:type="dxa" w:w="20"/>
              <w:left w:type="dxa" w:w="0"/>
              <w:bottom w:type="dxa" w:w="20"/>
              <w:right w:type="dxa" w:w="160"/>
            </w:tcMar>
          </w:tcPr>
          <w:p>
            <w:pPr>
              <w:spacing w:after="35" w:line="220"/>
              <w:ind w:left="200" w:hanging="200"/>
            </w:pPr>
            <w:r>
              <w:rPr>
                <w:rFonts w:ascii="Calibri" w:cs="Calibri" w:hAnsi="Calibri"/>
                <w:b/>
                <w:bCs/>
                <w:color w:val="C9A227"/>
                <w:sz w:val="18"/>
                <w:szCs w:val="18"/>
              </w:rPr>
              <w:t xml:space="preserve">▪ </w:t>
            </w:r>
            <w:r>
              <w:rPr>
                <w:rFonts w:ascii="Calibri" w:cs="Calibri" w:hAnsi="Calibri"/>
                <w:b/>
                <w:bCs/>
                <w:sz w:val="18"/>
                <w:szCs w:val="18"/>
              </w:rPr>
              <w:t xml:space="preserve">Local architect, proven implementer.</w:t>
            </w:r>
            <w:r>
              <w:rPr>
                <w:rFonts w:ascii="Calibri" w:cs="Calibri" w:hAnsi="Calibri"/>
                <w:sz w:val="18"/>
                <w:szCs w:val="18"/>
              </w:rPr>
              <w:t xml:space="preserve"> Segen brings UAE alliance architecture and principal representation; Earth Care has designed and launched national deposit systems across 15+ countries - including Lithuania, the closest design template to the UAE proposal (92.3% return rate, built in under two years).</w:t>
            </w:r>
          </w:p>
        </w:tc>
        <w:tc>
          <w:tcPr>
            <w:tcW w:type="dxa" w:w="4945"/>
            <w:tcMar>
              <w:top w:type="dxa" w:w="20"/>
              <w:left w:type="dxa" w:w="160"/>
              <w:bottom w:type="dxa" w:w="20"/>
              <w:right w:type="dxa" w:w="0"/>
            </w:tcMar>
          </w:tcPr>
          <w:p>
            <w:pPr>
              <w:spacing w:after="35" w:line="220"/>
              <w:ind w:left="200" w:hanging="200"/>
            </w:pPr>
            <w:r>
              <w:rPr>
                <w:rFonts w:ascii="Calibri" w:cs="Calibri" w:hAnsi="Calibri"/>
                <w:b/>
                <w:bCs/>
                <w:color w:val="C9A227"/>
                <w:sz w:val="18"/>
                <w:szCs w:val="18"/>
              </w:rPr>
              <w:t xml:space="preserve">▪ </w:t>
            </w:r>
            <w:r>
              <w:rPr>
                <w:rFonts w:ascii="Calibri" w:cs="Calibri" w:hAnsi="Calibri"/>
                <w:b/>
                <w:bCs/>
                <w:sz w:val="18"/>
                <w:szCs w:val="18"/>
              </w:rPr>
              <w:t xml:space="preserve">A binding financial pledge.</w:t>
            </w:r>
            <w:r>
              <w:rPr>
                <w:rFonts w:ascii="Calibri" w:cs="Calibri" w:hAnsi="Calibri"/>
                <w:sz w:val="18"/>
                <w:szCs w:val="18"/>
              </w:rPr>
              <w:t xml:space="preserve"> Zero income from unredeemed deposits - stated in Segen's own Project Description and hard-wired into not-for-profit governance, statutory escrow and independent audit.</w:t>
            </w:r>
          </w:p>
        </w:tc>
      </w:tr>
      <w:tr>
        <w:tc>
          <w:tcPr>
            <w:tcW w:type="dxa" w:w="4945"/>
            <w:tcMar>
              <w:top w:type="dxa" w:w="20"/>
              <w:left w:type="dxa" w:w="0"/>
              <w:bottom w:type="dxa" w:w="20"/>
              <w:right w:type="dxa" w:w="160"/>
            </w:tcMar>
          </w:tcPr>
          <w:p>
            <w:pPr>
              <w:spacing w:after="35" w:line="220"/>
              <w:ind w:left="200" w:hanging="200"/>
            </w:pPr>
            <w:r>
              <w:rPr>
                <w:rFonts w:ascii="Calibri" w:cs="Calibri" w:hAnsi="Calibri"/>
                <w:b/>
                <w:bCs/>
                <w:color w:val="C9A227"/>
                <w:sz w:val="18"/>
                <w:szCs w:val="18"/>
              </w:rPr>
              <w:t xml:space="preserve">▪ </w:t>
            </w:r>
            <w:r>
              <w:rPr>
                <w:rFonts w:ascii="Calibri" w:cs="Calibri" w:hAnsi="Calibri"/>
                <w:b/>
                <w:bCs/>
                <w:sz w:val="18"/>
                <w:szCs w:val="18"/>
              </w:rPr>
              <w:t xml:space="preserve">Financeable without public subsidy.</w:t>
            </w:r>
            <w:r>
              <w:rPr>
                <w:rFonts w:ascii="Calibri" w:cs="Calibri" w:hAnsi="Calibri"/>
                <w:sz w:val="18"/>
                <w:szCs w:val="18"/>
              </w:rPr>
              <w:t xml:space="preserve"> 60/40 debt/equity on the Romanian green-loan precedent; Segen commits AED 150 million; the system pays back by 2031 and operates at cost recovery under a transparent annual fee review.</w:t>
            </w:r>
          </w:p>
        </w:tc>
        <w:tc>
          <w:tcPr>
            <w:tcW w:type="dxa" w:w="4945"/>
            <w:tcMar>
              <w:top w:type="dxa" w:w="20"/>
              <w:left w:type="dxa" w:w="160"/>
              <w:bottom w:type="dxa" w:w="20"/>
              <w:right w:type="dxa" w:w="0"/>
            </w:tcMar>
          </w:tcPr>
          <w:p>
            <w:pPr>
              <w:spacing w:after="35" w:line="220"/>
              <w:ind w:left="200" w:hanging="200"/>
            </w:pPr>
            <w:r>
              <w:rPr>
                <w:rFonts w:ascii="Calibri" w:cs="Calibri" w:hAnsi="Calibri"/>
                <w:b/>
                <w:bCs/>
                <w:color w:val="C9A227"/>
                <w:sz w:val="18"/>
                <w:szCs w:val="18"/>
              </w:rPr>
              <w:t xml:space="preserve">▪ </w:t>
            </w:r>
            <w:r>
              <w:rPr>
                <w:rFonts w:ascii="Calibri" w:cs="Calibri" w:hAnsi="Calibri"/>
                <w:b/>
                <w:bCs/>
                <w:sz w:val="18"/>
                <w:szCs w:val="18"/>
              </w:rPr>
              <w:t xml:space="preserve">A complete, decision-ready package.</w:t>
            </w:r>
            <w:r>
              <w:rPr>
                <w:rFonts w:ascii="Calibri" w:cs="Calibri" w:hAnsi="Calibri"/>
                <w:sz w:val="18"/>
                <w:szCs w:val="18"/>
              </w:rPr>
              <w:t xml:space="preserve"> Market research, 60-jurisdiction benchmark evidence, a draft legislative outline, a formula-driven financial model, an implementation roadmap and a 14-item risk register - all delivered in the accompanying Master Study.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640"/>
        <w:gridCol w:w="4250"/>
      </w:tblGrid>
      <w:tr>
        <w:tc>
          <w:tcPr>
            <w:tcW w:type="dxa" w:w="5640"/>
            <w:tcBorders>
              <w:left w:val="single" w:color="C9A227" w:sz="20"/>
            </w:tcBorders>
            <w:shd w:fill="F5F1E8" w:val="clear"/>
            <w:tcMar>
              <w:top w:type="dxa" w:w="80"/>
              <w:left w:type="dxa" w:w="180"/>
              <w:bottom w:type="dxa" w:w="80"/>
              <w:right w:type="dxa" w:w="180"/>
            </w:tcMar>
            <w:vAlign w:val="center"/>
          </w:tcPr>
          <w:p>
            <w:pPr>
              <w:spacing w:after="0" w:line="245"/>
              <w:jc w:val="both"/>
            </w:pPr>
            <w:r>
              <w:rPr>
                <w:rFonts w:ascii="Georgia" w:cs="Georgia" w:hAnsi="Georgia"/>
                <w:b/>
                <w:bCs/>
                <w:i/>
                <w:iCs/>
                <w:color w:val="1B2A4A"/>
                <w:sz w:val="19"/>
                <w:szCs w:val="19"/>
              </w:rPr>
              <w:t xml:space="preserve">The window is now.</w:t>
            </w:r>
            <w:r>
              <w:rPr>
                <w:rFonts w:ascii="Georgia" w:cs="Georgia" w:hAnsi="Georgia"/>
                <w:i/>
                <w:iCs/>
                <w:color w:val="1B2A4A"/>
                <w:sz w:val="19"/>
                <w:szCs w:val="19"/>
              </w:rPr>
              <w:t xml:space="preserve"> The 2026 plastics ban has cleared the field; the EPR pilot has built the regulatory machinery; consumer behaviour is proven at pilot scale. A national DRS is the logical - and financially self-sustaining - next act of the UAE's circular-economy agenda, and the only major circular-economy deliverable the UAE can bring to 90% performance within a single policy cycle.</w:t>
            </w:r>
          </w:p>
        </w:tc>
        <w:tc>
          <w:tcPr>
            <w:tcW w:type="dxa" w:w="4250"/>
            <w:tcMar>
              <w:top w:type="dxa" w:w="20"/>
              <w:left w:type="dxa" w:w="160"/>
              <w:bottom w:type="dxa" w:w="20"/>
              <w:right w:type="dxa" w:w="0"/>
            </w:tcMar>
            <w:vAlign w:val="center"/>
          </w:tcPr>
          <w:p>
            <w:pPr>
              <w:spacing w:after="20"/>
              <w:jc w:val="center"/>
            </w:pPr>
            <w:r>
              <w:drawing>
                <wp:inline distT="0" distB="0" distL="0" distR="0">
                  <wp:extent cx="2476500" cy="152400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5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20"/>
            </w:pPr>
            <w:r>
              <w:rPr>
                <w:rFonts w:ascii="Calibri" w:cs="Calibri" w:hAnsi="Calibri"/>
                <w:i/>
                <w:iCs/>
                <w:color w:val="4A6580"/>
                <w:sz w:val="16"/>
                <w:szCs w:val="16"/>
              </w:rPr>
              <w:t xml:space="preserve">Deposit systems outperform - return rates, DRS vs kerbside (Reloop Global Deposit Book 2024; operator reports 2025-26).</w:t>
            </w:r>
          </w:p>
        </w:tc>
      </w:tr>
    </w:tbl>
    <w:p>
      <w:pPr>
        <w:spacing w:after="0" w:before="30" w:line="210"/>
      </w:pPr>
      <w:r>
        <w:rPr>
          <w:rFonts w:ascii="Calibri" w:cs="Calibri" w:hAnsi="Calibri"/>
          <w:i/>
          <w:iCs/>
          <w:color w:val="4A6580"/>
          <w:sz w:val="16"/>
          <w:szCs w:val="16"/>
        </w:rPr>
        <w:t xml:space="preserve">Deposit level and producer fees are non-binding recommendations for policymaker consideration. This summary is derived from Deliverable D1 (Master Study, July 2026); all financial figures trace to the R7 financial assumptions memo and the companion financial model.</w:t>
      </w:r>
    </w:p>
    <w:sectPr>
      <w:headerReference w:type="default" r:id="rId7"/>
      <w:footerReference w:type="default" r:id="rId8"/>
      <w:pgSz w:w="11906" w:h="16838" w:orient="portrait"/>
      <w:pgMar w:top="850" w:right="1008" w:bottom="850" w:left="1008" w:header="430" w:footer="43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9A227" w:sz="4" w:space="2"/>
      </w:pBdr>
      <w:tabs>
        <w:tab w:val="right" w:pos="9890"/>
      </w:tabs>
      <w:spacing w:after="0"/>
    </w:pPr>
    <w:r>
      <w:rPr>
        <w:rFonts w:ascii="Calibri" w:cs="Calibri" w:hAnsi="Calibri"/>
        <w:color w:val="4A6580"/>
        <w:sz w:val="16"/>
        <w:szCs w:val="16"/>
      </w:rPr>
      <w:t xml:space="preserve">CONFIDENTIAL - for official use only · July 2026</w:t>
    </w:r>
    <w:r>
      <w:rPr>
        <w:rFonts w:ascii="Calibri" w:cs="Calibri" w:hAnsi="Calibri"/>
        <w:color w:val="4A6580"/>
        <w:sz w:val="16"/>
        <w:szCs w:val="16"/>
      </w:rPr>
      <w:t xml:space="preserve">	Page </w:t>
    </w:r>
    <w:r>
      <w:rPr>
        <w:rFonts w:ascii="Calibri" w:cs="Calibri" w:hAnsi="Calibri"/>
        <w:color w:val="4A6580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9A227" w:sz="4" w:space="2"/>
      </w:pBdr>
      <w:tabs>
        <w:tab w:val="right" w:pos="9890"/>
      </w:tabs>
      <w:spacing w:after="0"/>
    </w:pPr>
    <w:r>
      <w:rPr>
        <w:rFonts w:ascii="Georgia" w:cs="Georgia" w:hAnsi="Georgia"/>
        <w:color w:val="4A6580"/>
        <w:sz w:val="16"/>
        <w:szCs w:val="16"/>
      </w:rPr>
      <w:t xml:space="preserve">UAE National DRS - Executive Summary for Ministers</w:t>
    </w:r>
    <w:r>
      <w:rPr>
        <w:rFonts w:ascii="Georgia" w:cs="Georgia" w:hAnsi="Georgia"/>
        <w:i/>
        <w:iCs/>
        <w:color w:val="4A6580"/>
        <w:sz w:val="16"/>
        <w:szCs w:val="16"/>
      </w:rPr>
      <w:t xml:space="preserve">	Segen × Earth Care Consulting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updateField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e784c006d70e8658048b1b29b54ce397703914ed.png"/><Relationship Id="rId10" Type="http://schemas.openxmlformats.org/officeDocument/2006/relationships/image" Target="media/2a300b2f3a85b1697332a8722560539402feaf02.png"/><Relationship Id="rId11" Type="http://schemas.openxmlformats.org/officeDocument/2006/relationships/image" Target="media/1f77779f75f734b2b4f6179d046cc743d8af20e7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UAE National DRS - Executive Summary for Ministers</dc:title>
  <dc:creator>Segen × Earth Care Consulting</dc:creator>
  <dc:description>Executive summary of the UAE National Beverage Container Deposit Return System Master Study (D5). CONFIDENTIAL - for official use only.</dc:description>
  <cp:lastModifiedBy>Un-named</cp:lastModifiedBy>
  <cp:revision>1</cp:revision>
  <dcterms:created xsi:type="dcterms:W3CDTF">2026-07-26T12:14:27.284Z</dcterms:created>
  <dcterms:modified xsi:type="dcterms:W3CDTF">2026-07-26T12:14:27.284Z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