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700"/>
        <w:jc w:val="center"/>
      </w:pPr>
      <w:r>
        <w:drawing>
          <wp:inline distT="0" distB="0" distL="0" distR="0">
            <wp:extent cx="1000125" cy="1000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00125" cy="1000125"/>
                    </a:xfrm>
                    <a:prstGeom prst="rect">
                      <a:avLst/>
                    </a:prstGeom>
                  </pic:spPr>
                </pic:pic>
              </a:graphicData>
            </a:graphic>
          </wp:inline>
        </w:drawing>
      </w:r>
    </w:p>
    <w:tbl>
      <w:tblPr>
        <w:tblW w:type="dxa" w:w="8738"/>
        <w:tblBorders>
          <w:top w:val="single" w:color="1B2A4A" w:sz="4"/>
          <w:left w:val="single" w:color="1B2A4A" w:sz="4"/>
          <w:bottom w:val="single" w:color="C9A227" w:sz="24"/>
          <w:right w:val="single" w:color="1B2A4A" w:sz="4"/>
          <w:insideH w:val="none" w:color="1B2A4A" w:sz="0"/>
          <w:insideV w:val="none" w:color="1B2A4A" w:sz="0"/>
        </w:tblBorders>
      </w:tblPr>
      <w:tblGrid>
        <w:gridCol w:w="8738"/>
      </w:tblGrid>
      <w:tr>
        <w:tc>
          <w:tcPr>
            <w:tcW w:type="dxa" w:w="8738"/>
            <w:shd w:fill="1B2A4A" w:val="clear"/>
            <w:tcMar>
              <w:top w:type="dxa" w:w="520"/>
              <w:left w:type="dxa" w:w="480"/>
              <w:bottom w:type="dxa" w:w="520"/>
              <w:right w:type="dxa" w:w="480"/>
            </w:tcMar>
          </w:tcPr>
          <w:p>
            <w:pPr>
              <w:spacing w:after="120"/>
              <w:jc w:val="center"/>
            </w:pPr>
            <w:r>
              <w:rPr>
                <w:rFonts w:ascii="Georgia" w:cs="Georgia" w:eastAsia="Georgia" w:hAnsi="Georgia"/>
                <w:b/>
                <w:bCs/>
                <w:color w:val="FFFFFF"/>
                <w:sz w:val="56"/>
                <w:szCs w:val="56"/>
              </w:rPr>
              <w:t xml:space="preserve">UAE National Beverage Container</w:t>
            </w:r>
          </w:p>
          <w:p>
            <w:pPr>
              <w:spacing w:after="200"/>
              <w:jc w:val="center"/>
            </w:pPr>
            <w:r>
              <w:rPr>
                <w:rFonts w:ascii="Georgia" w:cs="Georgia" w:eastAsia="Georgia" w:hAnsi="Georgia"/>
                <w:b/>
                <w:bCs/>
                <w:color w:val="FFFFFF"/>
                <w:sz w:val="56"/>
                <w:szCs w:val="56"/>
              </w:rPr>
              <w:t xml:space="preserve">Deposit Return System (DRS)</w:t>
            </w:r>
          </w:p>
          <w:p>
            <w:pPr>
              <w:spacing w:after="0"/>
              <w:jc w:val="center"/>
            </w:pPr>
            <w:r>
              <w:rPr>
                <w:rFonts w:ascii="Georgia" w:cs="Georgia" w:eastAsia="Georgia" w:hAnsi="Georgia"/>
                <w:i/>
                <w:iCs/>
                <w:color w:val="C9A227"/>
                <w:sz w:val="34"/>
                <w:szCs w:val="34"/>
              </w:rPr>
              <w:t xml:space="preserve">Feasibility &amp; Implementation Study</w:t>
            </w:r>
          </w:p>
        </w:tc>
      </w:tr>
    </w:tbl>
    <w:p>
      <w:pPr>
        <w:spacing w:after="120" w:before="560"/>
        <w:jc w:val="center"/>
      </w:pPr>
      <w:r>
        <w:drawing>
          <wp:inline distT="0" distB="0" distL="0" distR="0">
            <wp:extent cx="2857500" cy="1095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857500" cy="1095375"/>
                    </a:xfrm>
                    <a:prstGeom prst="rect">
                      <a:avLst/>
                    </a:prstGeom>
                  </pic:spPr>
                </pic:pic>
              </a:graphicData>
            </a:graphic>
          </wp:inline>
        </w:drawing>
      </w:r>
    </w:p>
    <w:p>
      <w:pPr>
        <w:spacing w:after="420"/>
        <w:jc w:val="center"/>
      </w:pPr>
      <w:r>
        <w:rPr>
          <w:rFonts w:ascii="Calibri" w:cs="Calibri" w:eastAsia="Calibri" w:hAnsi="Calibri"/>
          <w:color w:val="4A6580"/>
          <w:sz w:val="22"/>
          <w:szCs w:val="22"/>
        </w:rPr>
        <w:t xml:space="preserve">in partnership with Earth Care Consulting</w:t>
      </w:r>
    </w:p>
    <w:p>
      <w:pPr>
        <w:spacing w:after="60"/>
        <w:jc w:val="center"/>
      </w:pPr>
      <w:r>
        <w:rPr>
          <w:rFonts w:ascii="Georgia" w:cs="Georgia" w:eastAsia="Georgia" w:hAnsi="Georgia"/>
          <w:b/>
          <w:bCs/>
          <w:color w:val="1B2A4A"/>
          <w:sz w:val="24"/>
          <w:szCs w:val="24"/>
        </w:rPr>
        <w:t xml:space="preserve">Prepared for the Ministry of Economy &amp; Tourism</w:t>
      </w:r>
    </w:p>
    <w:p>
      <w:pPr>
        <w:spacing w:after="160"/>
        <w:jc w:val="center"/>
      </w:pPr>
      <w:r>
        <w:rPr>
          <w:rFonts w:ascii="Georgia" w:cs="Georgia" w:eastAsia="Georgia" w:hAnsi="Georgia"/>
          <w:b/>
          <w:bCs/>
          <w:color w:val="1B2A4A"/>
          <w:sz w:val="24"/>
          <w:szCs w:val="24"/>
        </w:rPr>
        <w:t xml:space="preserve">and the Ministry of Climate Change &amp; Environment</w:t>
      </w:r>
    </w:p>
    <w:p>
      <w:pPr>
        <w:spacing w:after="520"/>
        <w:jc w:val="center"/>
      </w:pPr>
      <w:r>
        <w:rPr>
          <w:rFonts w:ascii="Calibri" w:cs="Calibri" w:eastAsia="Calibri" w:hAnsi="Calibri"/>
          <w:color w:val="4A6580"/>
          <w:sz w:val="22"/>
          <w:szCs w:val="22"/>
        </w:rPr>
        <w:t xml:space="preserve">July 2026 · Deliverable D1 - Master Study</w:t>
      </w:r>
    </w:p>
    <w:p>
      <w:pPr>
        <w:pBdr>
          <w:left w:val="single" w:color="C9A227" w:sz="18"/>
        </w:pBdr>
        <w:shd w:fill="F5F1E8" w:val="clear"/>
        <w:spacing w:after="80" w:before="120" w:line="260"/>
        <w:ind w:left="260" w:right="260"/>
      </w:pPr>
      <w:r>
        <w:rPr>
          <w:b/>
          <w:bCs/>
          <w:color w:val="1B2A4A"/>
          <w:sz w:val="18"/>
          <w:szCs w:val="18"/>
        </w:rPr>
        <w:t xml:space="preserve">CONFIDENTIAL.</w:t>
      </w:r>
      <w:r>
        <w:rPr>
          <w:color w:val="1B2A4A"/>
          <w:sz w:val="18"/>
          <w:szCs w:val="18"/>
        </w:rPr>
        <w:t xml:space="preserve"> This document contains commercially sensitive information of Segen and Earth Care Consulting. Circulation is restricted to the addressed ministries and their designated advisers. Deposit levels and producer fees herein are non-binding recommendations for policymaker consideration.</w:t>
      </w:r>
    </w:p>
    <w:p>
      <w:pPr>
        <w:pageBreakBefore/>
        <w:pBdr>
          <w:bottom w:val="single" w:color="C9A227" w:sz="10" w:space="4"/>
        </w:pBdr>
        <w:spacing w:after="280" w:before="240"/>
      </w:pPr>
      <w:r>
        <w:rPr>
          <w:rFonts w:ascii="Georgia" w:cs="Georgia" w:eastAsia="Georgia" w:hAnsi="Georgia"/>
          <w:b/>
          <w:bCs/>
          <w:color w:val="1B2A4A"/>
          <w:sz w:val="40"/>
          <w:szCs w:val="40"/>
        </w:rPr>
        <w:t xml:space="preserve">Contents</w:t>
      </w:r>
    </w:p>
    <w:sdt xmlns:w="http://schemas.openxmlformats.org/wordprocessingml/2006/main">
      <w:sdtPr>
        <w:alias w:val="Table of Contents"/>
      </w:sdtPr>
      <w:sdtContent>
        <w:p>
          <w:r>
            <w:fldChar w:fldCharType="begin" w:dirty="true"/>
            <w:instrText xml:space="preserve"> TOC \o "1-2" \h \z \u </w:instrText>
            <w:fldChar w:fldCharType="separate"/>
          </w:r>
        </w:p>
        <w:p>
          <w:pPr>
            <w:pStyle w:val="TOC1"/>
            <w:tabs>
              <w:tab w:val="right" w:leader="dot" w:pos="8738"/>
            </w:tabs>
            <w:ind w:left="0"/>
          </w:pPr>
          <w:r>
            <w:t xml:space="preserve">Part I - Framing &amp; Strategic Case</w:t>
          </w:r>
          <w:r>
            <w:tab/>
          </w:r>
          <w:r>
            <w:t>6</w:t>
          </w:r>
        </w:p>
        <w:p>
          <w:pPr>
            <w:pStyle w:val="TOC1"/>
            <w:tabs>
              <w:tab w:val="right" w:leader="dot" w:pos="8738"/>
            </w:tabs>
            <w:ind w:left="0"/>
          </w:pPr>
          <w:r>
            <w:t xml:space="preserve">Chapter 1 - Executive Summary</w:t>
          </w:r>
          <w:r>
            <w:tab/>
          </w:r>
          <w:r>
            <w:t>7</w:t>
          </w:r>
        </w:p>
        <w:p>
          <w:pPr>
            <w:pStyle w:val="TOC2"/>
            <w:tabs>
              <w:tab w:val="right" w:leader="dot" w:pos="8738"/>
            </w:tabs>
            <w:ind w:left="300"/>
          </w:pPr>
          <w:r>
            <w:t xml:space="preserve">1.1 The opportunity</w:t>
          </w:r>
          <w:r>
            <w:tab/>
          </w:r>
          <w:r>
            <w:t>7</w:t>
          </w:r>
        </w:p>
        <w:p>
          <w:pPr>
            <w:pStyle w:val="TOC2"/>
            <w:tabs>
              <w:tab w:val="right" w:leader="dot" w:pos="8738"/>
            </w:tabs>
            <w:ind w:left="300"/>
          </w:pPr>
          <w:r>
            <w:t xml:space="preserve">1.2 The proposal</w:t>
          </w:r>
          <w:r>
            <w:tab/>
          </w:r>
          <w:r>
            <w:t>7</w:t>
          </w:r>
        </w:p>
        <w:p>
          <w:pPr>
            <w:pStyle w:val="TOC2"/>
            <w:tabs>
              <w:tab w:val="right" w:leader="dot" w:pos="8738"/>
            </w:tabs>
            <w:ind w:left="300"/>
          </w:pPr>
          <w:r>
            <w:t xml:space="preserve">1.3 Headline economics</w:t>
          </w:r>
          <w:r>
            <w:tab/>
          </w:r>
          <w:r>
            <w:t>8</w:t>
          </w:r>
        </w:p>
        <w:p>
          <w:pPr>
            <w:pStyle w:val="TOC2"/>
            <w:tabs>
              <w:tab w:val="right" w:leader="dot" w:pos="8738"/>
            </w:tabs>
            <w:ind w:left="300"/>
          </w:pPr>
          <w:r>
            <w:t xml:space="preserve">1.4 The ask from government</w:t>
          </w:r>
          <w:r>
            <w:tab/>
          </w:r>
          <w:r>
            <w:t>9</w:t>
          </w:r>
        </w:p>
        <w:p>
          <w:pPr>
            <w:pStyle w:val="TOC1"/>
            <w:tabs>
              <w:tab w:val="right" w:leader="dot" w:pos="8738"/>
            </w:tabs>
            <w:ind w:left="0"/>
          </w:pPr>
          <w:r>
            <w:t xml:space="preserve">Chapter 2 - Introduction &amp; Project Overview</w:t>
          </w:r>
          <w:r>
            <w:tab/>
          </w:r>
          <w:r>
            <w:t>10</w:t>
          </w:r>
        </w:p>
        <w:p>
          <w:pPr>
            <w:pStyle w:val="TOC2"/>
            <w:tabs>
              <w:tab w:val="right" w:leader="dot" w:pos="8738"/>
            </w:tabs>
            <w:ind w:left="300"/>
          </w:pPr>
          <w:r>
            <w:t xml:space="preserve">2.1 Project description</w:t>
          </w:r>
          <w:r>
            <w:tab/>
          </w:r>
          <w:r>
            <w:t>10</w:t>
          </w:r>
        </w:p>
        <w:p>
          <w:pPr>
            <w:pStyle w:val="TOC2"/>
            <w:tabs>
              <w:tab w:val="right" w:leader="dot" w:pos="8738"/>
            </w:tabs>
            <w:ind w:left="300"/>
          </w:pPr>
          <w:r>
            <w:t xml:space="preserve">2.2 Sponsors and delivery partners</w:t>
          </w:r>
          <w:r>
            <w:tab/>
          </w:r>
          <w:r>
            <w:t>10</w:t>
          </w:r>
        </w:p>
        <w:p>
          <w:pPr>
            <w:pStyle w:val="TOC2"/>
            <w:tabs>
              <w:tab w:val="right" w:leader="dot" w:pos="8738"/>
            </w:tabs>
            <w:ind w:left="300"/>
          </w:pPr>
          <w:r>
            <w:t xml:space="preserve">2.3 Scope</w:t>
          </w:r>
          <w:r>
            <w:tab/>
          </w:r>
          <w:r>
            <w:t>11</w:t>
          </w:r>
        </w:p>
        <w:p>
          <w:pPr>
            <w:pStyle w:val="TOC2"/>
            <w:tabs>
              <w:tab w:val="right" w:leader="dot" w:pos="8738"/>
            </w:tabs>
            <w:ind w:left="300"/>
          </w:pPr>
          <w:r>
            <w:t xml:space="preserve">2.4 Guiding principles</w:t>
          </w:r>
          <w:r>
            <w:tab/>
          </w:r>
          <w:r>
            <w:t>11</w:t>
          </w:r>
        </w:p>
        <w:p>
          <w:pPr>
            <w:pStyle w:val="TOC1"/>
            <w:tabs>
              <w:tab w:val="right" w:leader="dot" w:pos="8738"/>
            </w:tabs>
            <w:ind w:left="0"/>
          </w:pPr>
          <w:r>
            <w:t xml:space="preserve">Chapter 3 - Strategic Alignment with the UAE National Agenda</w:t>
          </w:r>
          <w:r>
            <w:tab/>
          </w:r>
          <w:r>
            <w:t>13</w:t>
          </w:r>
        </w:p>
        <w:p>
          <w:pPr>
            <w:pStyle w:val="TOC2"/>
            <w:tabs>
              <w:tab w:val="right" w:leader="dot" w:pos="8738"/>
            </w:tabs>
            <w:ind w:left="300"/>
          </w:pPr>
          <w:r>
            <w:t xml:space="preserve">3.1 Alignment map</w:t>
          </w:r>
          <w:r>
            <w:tab/>
          </w:r>
          <w:r>
            <w:t>13</w:t>
          </w:r>
        </w:p>
        <w:p>
          <w:pPr>
            <w:pStyle w:val="TOC2"/>
            <w:tabs>
              <w:tab w:val="right" w:leader="dot" w:pos="8738"/>
            </w:tabs>
            <w:ind w:left="300"/>
          </w:pPr>
          <w:r>
            <w:t xml:space="preserve">3.2 The 2026 single-use plastics ban: beverage containers are the next stream</w:t>
          </w:r>
          <w:r>
            <w:tab/>
          </w:r>
          <w:r>
            <w:t>14</w:t>
          </w:r>
        </w:p>
        <w:p>
          <w:pPr>
            <w:pStyle w:val="TOC2"/>
            <w:tabs>
              <w:tab w:val="right" w:leader="dot" w:pos="8738"/>
            </w:tabs>
            <w:ind w:left="300"/>
          </w:pPr>
          <w:r>
            <w:t xml:space="preserve">3.3 The EPR pilot as the regulatory gateway</w:t>
          </w:r>
          <w:r>
            <w:tab/>
          </w:r>
          <w:r>
            <w:t>14</w:t>
          </w:r>
        </w:p>
        <w:p>
          <w:pPr>
            <w:pStyle w:val="TOC2"/>
            <w:tabs>
              <w:tab w:val="right" w:leader="dot" w:pos="8738"/>
            </w:tabs>
            <w:ind w:left="300"/>
          </w:pPr>
          <w:r>
            <w:t xml:space="preserve">3.4 The Circular Economy Council: the governance home</w:t>
          </w:r>
          <w:r>
            <w:tab/>
          </w:r>
          <w:r>
            <w:t>14</w:t>
          </w:r>
        </w:p>
        <w:p>
          <w:pPr>
            <w:pStyle w:val="TOC2"/>
            <w:tabs>
              <w:tab w:val="right" w:leader="dot" w:pos="8738"/>
            </w:tabs>
            <w:ind w:left="300"/>
          </w:pPr>
          <w:r>
            <w:t xml:space="preserve">3.5 A regional first-mover position</w:t>
          </w:r>
          <w:r>
            <w:tab/>
          </w:r>
          <w:r>
            <w:t>14</w:t>
          </w:r>
        </w:p>
        <w:p>
          <w:pPr>
            <w:pStyle w:val="TOC1"/>
            <w:tabs>
              <w:tab w:val="right" w:leader="dot" w:pos="8738"/>
            </w:tabs>
            <w:ind w:left="0"/>
          </w:pPr>
          <w:r>
            <w:t xml:space="preserve">Part II - International Evidence &amp; the UAE Market</w:t>
          </w:r>
          <w:r>
            <w:tab/>
          </w:r>
          <w:r>
            <w:t>16</w:t>
          </w:r>
        </w:p>
        <w:p>
          <w:pPr>
            <w:pStyle w:val="TOC1"/>
            <w:tabs>
              <w:tab w:val="right" w:leader="dot" w:pos="8738"/>
            </w:tabs>
            <w:ind w:left="0"/>
          </w:pPr>
          <w:r>
            <w:t xml:space="preserve">Chapter 4 - International Evidence &amp; Benchmarks</w:t>
          </w:r>
          <w:r>
            <w:tab/>
          </w:r>
          <w:r>
            <w:t>17</w:t>
          </w:r>
        </w:p>
        <w:p>
          <w:pPr>
            <w:pStyle w:val="TOC2"/>
            <w:tabs>
              <w:tab w:val="right" w:leader="dot" w:pos="8738"/>
            </w:tabs>
            <w:ind w:left="300"/>
          </w:pPr>
          <w:r>
            <w:t xml:space="preserve">4.1 The Global Landscape in 2026</w:t>
          </w:r>
          <w:r>
            <w:tab/>
          </w:r>
          <w:r>
            <w:t>17</w:t>
          </w:r>
        </w:p>
        <w:p>
          <w:pPr>
            <w:pStyle w:val="TOC2"/>
            <w:tabs>
              <w:tab w:val="right" w:leader="dot" w:pos="8738"/>
            </w:tabs>
            <w:ind w:left="300"/>
          </w:pPr>
          <w:r>
            <w:t xml:space="preserve">4.2 Deep Dive: Lithuania (USAD) - the Closest Design Template</w:t>
          </w:r>
          <w:r>
            <w:tab/>
          </w:r>
          <w:r>
            <w:t>19</w:t>
          </w:r>
        </w:p>
        <w:p>
          <w:pPr>
            <w:pStyle w:val="TOC2"/>
            <w:tabs>
              <w:tab w:val="right" w:leader="dot" w:pos="8738"/>
            </w:tabs>
            <w:ind w:left="300"/>
          </w:pPr>
          <w:r>
            <w:t xml:space="preserve">4.3 The Newest Wave: Proof That 80-90% Is Achievable Within 24 Months</w:t>
          </w:r>
          <w:r>
            <w:tab/>
          </w:r>
          <w:r>
            <w:t>21</w:t>
          </w:r>
        </w:p>
        <w:p>
          <w:pPr>
            <w:pStyle w:val="TOC2"/>
            <w:tabs>
              <w:tab w:val="right" w:leader="dot" w:pos="8738"/>
            </w:tabs>
            <w:ind w:left="300"/>
          </w:pPr>
          <w:r>
            <w:t xml:space="preserve">4.4 Mature Systems: What Twenty Years of Operation Teaches</w:t>
          </w:r>
          <w:r>
            <w:tab/>
          </w:r>
          <w:r>
            <w:t>23</w:t>
          </w:r>
        </w:p>
        <w:p>
          <w:pPr>
            <w:pStyle w:val="TOC2"/>
            <w:tabs>
              <w:tab w:val="right" w:leader="dot" w:pos="8738"/>
            </w:tabs>
            <w:ind w:left="300"/>
          </w:pPr>
          <w:r>
            <w:t xml:space="preserve">4.5 Türkiye: The Most Relevant Regional Analogue - Live Since 1 July 2026</w:t>
          </w:r>
          <w:r>
            <w:tab/>
          </w:r>
          <w:r>
            <w:t>23</w:t>
          </w:r>
        </w:p>
        <w:p>
          <w:pPr>
            <w:pStyle w:val="TOC2"/>
            <w:tabs>
              <w:tab w:val="right" w:leader="dot" w:pos="8738"/>
            </w:tabs>
            <w:ind w:left="300"/>
          </w:pPr>
          <w:r>
            <w:t xml:space="preserve">4.6 Scotland and Spain: Governance Cautionary Tales</w:t>
          </w:r>
          <w:r>
            <w:tab/>
          </w:r>
          <w:r>
            <w:t>24</w:t>
          </w:r>
        </w:p>
        <w:p>
          <w:pPr>
            <w:pStyle w:val="TOC2"/>
            <w:tabs>
              <w:tab w:val="right" w:leader="dot" w:pos="8738"/>
            </w:tabs>
            <w:ind w:left="300"/>
          </w:pPr>
          <w:r>
            <w:t xml:space="preserve">4.7 Ten Design Patterns for the UAE</w:t>
          </w:r>
          <w:r>
            <w:tab/>
          </w:r>
          <w:r>
            <w:t>24</w:t>
          </w:r>
        </w:p>
        <w:p>
          <w:pPr>
            <w:pStyle w:val="TOC1"/>
            <w:tabs>
              <w:tab w:val="right" w:leader="dot" w:pos="8738"/>
            </w:tabs>
            <w:ind w:left="0"/>
          </w:pPr>
          <w:r>
            <w:t xml:space="preserve">Chapter 5 - UAE Market Assessment</w:t>
          </w:r>
          <w:r>
            <w:tab/>
          </w:r>
          <w:r>
            <w:t>25</w:t>
          </w:r>
        </w:p>
        <w:p>
          <w:pPr>
            <w:pStyle w:val="TOC2"/>
            <w:tabs>
              <w:tab w:val="right" w:leader="dot" w:pos="8738"/>
            </w:tabs>
            <w:ind w:left="300"/>
          </w:pPr>
          <w:r>
            <w:t xml:space="preserve">5.0 Chapter Summary</w:t>
          </w:r>
          <w:r>
            <w:tab/>
          </w:r>
          <w:r>
            <w:t>25</w:t>
          </w:r>
        </w:p>
        <w:p>
          <w:pPr>
            <w:pStyle w:val="TOC2"/>
            <w:tabs>
              <w:tab w:val="right" w:leader="dot" w:pos="8738"/>
            </w:tabs>
            <w:ind w:left="300"/>
          </w:pPr>
          <w:r>
            <w:t xml:space="preserve">5.1 Population &amp; Consumption Context</w:t>
          </w:r>
          <w:r>
            <w:tab/>
          </w:r>
          <w:r>
            <w:t>26</w:t>
          </w:r>
        </w:p>
        <w:p>
          <w:pPr>
            <w:pStyle w:val="TOC2"/>
            <w:tabs>
              <w:tab w:val="right" w:leader="dot" w:pos="8738"/>
            </w:tabs>
            <w:ind w:left="300"/>
          </w:pPr>
          <w:r>
            <w:t xml:space="preserve">5.2 Containers Placed on Market, by Material</w:t>
          </w:r>
          <w:r>
            <w:tab/>
          </w:r>
          <w:r>
            <w:t>27</w:t>
          </w:r>
        </w:p>
        <w:p>
          <w:pPr>
            <w:pStyle w:val="TOC2"/>
            <w:tabs>
              <w:tab w:val="right" w:leader="dot" w:pos="8738"/>
            </w:tabs>
            <w:ind w:left="300"/>
          </w:pPr>
          <w:r>
            <w:t xml:space="preserve">5.3 Producer &amp; Importer Landscape</w:t>
          </w:r>
          <w:r>
            <w:tab/>
          </w:r>
          <w:r>
            <w:t>28</w:t>
          </w:r>
        </w:p>
        <w:p>
          <w:pPr>
            <w:pStyle w:val="TOC2"/>
            <w:tabs>
              <w:tab w:val="right" w:leader="dot" w:pos="8738"/>
            </w:tabs>
            <w:ind w:left="300"/>
          </w:pPr>
          <w:r>
            <w:t xml:space="preserve">5.4 Retail Landscape &amp; Return-Channel Readiness</w:t>
          </w:r>
          <w:r>
            <w:tab/>
          </w:r>
          <w:r>
            <w:t>29</w:t>
          </w:r>
        </w:p>
        <w:p>
          <w:pPr>
            <w:pStyle w:val="TOC2"/>
            <w:tabs>
              <w:tab w:val="right" w:leader="dot" w:pos="8738"/>
            </w:tabs>
            <w:ind w:left="300"/>
          </w:pPr>
          <w:r>
            <w:t xml:space="preserve">5.5 Existing Recycling Infrastructure</w:t>
          </w:r>
          <w:r>
            <w:tab/>
          </w:r>
          <w:r>
            <w:t>30</w:t>
          </w:r>
        </w:p>
        <w:p>
          <w:pPr>
            <w:pStyle w:val="TOC2"/>
            <w:tabs>
              <w:tab w:val="right" w:leader="dot" w:pos="8738"/>
            </w:tabs>
            <w:ind w:left="300"/>
          </w:pPr>
          <w:r>
            <w:t xml:space="preserve">5.6 Voluntary Collection Today - and Why It Plateaus</w:t>
          </w:r>
          <w:r>
            <w:tab/>
          </w:r>
          <w:r>
            <w:t>31</w:t>
          </w:r>
        </w:p>
        <w:p>
          <w:pPr>
            <w:pStyle w:val="TOC2"/>
            <w:tabs>
              <w:tab w:val="right" w:leader="dot" w:pos="8738"/>
            </w:tabs>
            <w:ind w:left="300"/>
          </w:pPr>
          <w:r>
            <w:t xml:space="preserve">5.7 Waste-Flow Economics</w:t>
          </w:r>
          <w:r>
            <w:tab/>
          </w:r>
          <w:r>
            <w:t>32</w:t>
          </w:r>
        </w:p>
        <w:p>
          <w:pPr>
            <w:pStyle w:val="TOC2"/>
            <w:tabs>
              <w:tab w:val="right" w:leader="dot" w:pos="8738"/>
            </w:tabs>
            <w:ind w:left="300"/>
          </w:pPr>
          <w:r>
            <w:t xml:space="preserve">5.8 Implications for DRS Design</w:t>
          </w:r>
          <w:r>
            <w:tab/>
          </w:r>
          <w:r>
            <w:t>33</w:t>
          </w:r>
        </w:p>
        <w:p>
          <w:pPr>
            <w:pStyle w:val="TOC2"/>
            <w:tabs>
              <w:tab w:val="right" w:leader="dot" w:pos="8738"/>
            </w:tabs>
            <w:ind w:left="300"/>
          </w:pPr>
          <w:r>
            <w:t xml:space="preserve">Annex 5.A - Data Provenance Register</w:t>
          </w:r>
          <w:r>
            <w:tab/>
          </w:r>
          <w:r>
            <w:t>33</w:t>
          </w:r>
        </w:p>
        <w:p>
          <w:pPr>
            <w:pStyle w:val="TOC1"/>
            <w:tabs>
              <w:tab w:val="right" w:leader="dot" w:pos="8738"/>
            </w:tabs>
            <w:ind w:left="0"/>
          </w:pPr>
          <w:r>
            <w:t xml:space="preserve">Part III - System, Legal &amp; Delivery Design</w:t>
          </w:r>
          <w:r>
            <w:tab/>
          </w:r>
          <w:r>
            <w:t>35</w:t>
          </w:r>
        </w:p>
        <w:p>
          <w:pPr>
            <w:pStyle w:val="TOC1"/>
            <w:tabs>
              <w:tab w:val="right" w:leader="dot" w:pos="8738"/>
            </w:tabs>
            <w:ind w:left="0"/>
          </w:pPr>
          <w:r>
            <w:t xml:space="preserve">Chapter 6 - System Design &amp; Operating Model</w:t>
          </w:r>
          <w:r>
            <w:tab/>
          </w:r>
          <w:r>
            <w:t>36</w:t>
          </w:r>
        </w:p>
        <w:p>
          <w:pPr>
            <w:pStyle w:val="TOC2"/>
            <w:tabs>
              <w:tab w:val="right" w:leader="dot" w:pos="8738"/>
            </w:tabs>
            <w:ind w:left="300"/>
          </w:pPr>
          <w:r>
            <w:t xml:space="preserve">6.0 Chapter overview</w:t>
          </w:r>
          <w:r>
            <w:tab/>
          </w:r>
          <w:r>
            <w:t>36</w:t>
          </w:r>
        </w:p>
        <w:p>
          <w:pPr>
            <w:pStyle w:val="TOC2"/>
            <w:tabs>
              <w:tab w:val="right" w:leader="dot" w:pos="8738"/>
            </w:tabs>
            <w:ind w:left="300"/>
          </w:pPr>
          <w:r>
            <w:t xml:space="preserve">6.1 System scope and deposit model</w:t>
          </w:r>
          <w:r>
            <w:tab/>
          </w:r>
          <w:r>
            <w:t>36</w:t>
          </w:r>
        </w:p>
        <w:p>
          <w:pPr>
            <w:pStyle w:val="TOC2"/>
            <w:tabs>
              <w:tab w:val="right" w:leader="dot" w:pos="8738"/>
            </w:tabs>
            <w:ind w:left="300"/>
          </w:pPr>
          <w:r>
            <w:t xml:space="preserve">6.2 Governance: a single, centralised, not-for-profit DSO under government supervision</w:t>
          </w:r>
          <w:r>
            <w:tab/>
          </w:r>
          <w:r>
            <w:t>38</w:t>
          </w:r>
        </w:p>
        <w:p>
          <w:pPr>
            <w:pStyle w:val="TOC2"/>
            <w:tabs>
              <w:tab w:val="right" w:leader="dot" w:pos="8738"/>
            </w:tabs>
            <w:ind w:left="300"/>
          </w:pPr>
          <w:r>
            <w:t xml:space="preserve">6.3 Collection network design</w:t>
          </w:r>
          <w:r>
            <w:tab/>
          </w:r>
          <w:r>
            <w:t>39</w:t>
          </w:r>
        </w:p>
        <w:p>
          <w:pPr>
            <w:pStyle w:val="TOC2"/>
            <w:tabs>
              <w:tab w:val="right" w:leader="dot" w:pos="8738"/>
            </w:tabs>
            <w:ind w:left="300"/>
          </w:pPr>
          <w:r>
            <w:t xml:space="preserve">6.4 Logistics, counting and sorting</w:t>
          </w:r>
          <w:r>
            <w:tab/>
          </w:r>
          <w:r>
            <w:t>41</w:t>
          </w:r>
        </w:p>
        <w:p>
          <w:pPr>
            <w:pStyle w:val="TOC2"/>
            <w:tabs>
              <w:tab w:val="right" w:leader="dot" w:pos="8738"/>
            </w:tabs>
            <w:ind w:left="300"/>
          </w:pPr>
          <w:r>
            <w:t xml:space="preserve">6.5 Recycling and material offtake</w:t>
          </w:r>
          <w:r>
            <w:tab/>
          </w:r>
          <w:r>
            <w:t>41</w:t>
          </w:r>
        </w:p>
        <w:p>
          <w:pPr>
            <w:pStyle w:val="TOC2"/>
            <w:tabs>
              <w:tab w:val="right" w:leader="dot" w:pos="8738"/>
            </w:tabs>
            <w:ind w:left="300"/>
          </w:pPr>
          <w:r>
            <w:t xml:space="preserve">6.6 The central IT platform: the system's single source of truth</w:t>
          </w:r>
          <w:r>
            <w:tab/>
          </w:r>
          <w:r>
            <w:t>42</w:t>
          </w:r>
        </w:p>
        <w:p>
          <w:pPr>
            <w:pStyle w:val="TOC2"/>
            <w:tabs>
              <w:tab w:val="right" w:leader="dot" w:pos="8738"/>
            </w:tabs>
            <w:ind w:left="300"/>
          </w:pPr>
          <w:r>
            <w:t xml:space="preserve">6.7 Consumer experience and refund channels</w:t>
          </w:r>
          <w:r>
            <w:tab/>
          </w:r>
          <w:r>
            <w:t>43</w:t>
          </w:r>
        </w:p>
        <w:p>
          <w:pPr>
            <w:pStyle w:val="TOC2"/>
            <w:tabs>
              <w:tab w:val="right" w:leader="dot" w:pos="8738"/>
            </w:tabs>
            <w:ind w:left="300"/>
          </w:pPr>
          <w:r>
            <w:t xml:space="preserve">6.8 Unredeemed deposits policy: transparent escrow, zero operator benefit</w:t>
          </w:r>
          <w:r>
            <w:tab/>
          </w:r>
          <w:r>
            <w:t>45</w:t>
          </w:r>
        </w:p>
        <w:p>
          <w:pPr>
            <w:pStyle w:val="TOC2"/>
            <w:tabs>
              <w:tab w:val="right" w:leader="dot" w:pos="8738"/>
            </w:tabs>
            <w:ind w:left="300"/>
          </w:pPr>
          <w:r>
            <w:t xml:space="preserve">6.9 Chapter summary: the operating model at a glance</w:t>
          </w:r>
          <w:r>
            <w:tab/>
          </w:r>
          <w:r>
            <w:t>45</w:t>
          </w:r>
        </w:p>
        <w:p>
          <w:pPr>
            <w:pStyle w:val="TOC1"/>
            <w:tabs>
              <w:tab w:val="right" w:leader="dot" w:pos="8738"/>
            </w:tabs>
            <w:ind w:left="0"/>
          </w:pPr>
          <w:r>
            <w:t xml:space="preserve">Chapter 7 - Regulatory &amp; Legal Framework</w:t>
          </w:r>
          <w:r>
            <w:tab/>
          </w:r>
          <w:r>
            <w:t>46</w:t>
          </w:r>
        </w:p>
        <w:p>
          <w:pPr>
            <w:pStyle w:val="TOC2"/>
            <w:tabs>
              <w:tab w:val="right" w:leader="dot" w:pos="8738"/>
            </w:tabs>
            <w:ind w:left="300"/>
          </w:pPr>
          <w:r>
            <w:t xml:space="preserve">7.1 The legal starting point: an empty shelf, a prepared runway</w:t>
          </w:r>
          <w:r>
            <w:tab/>
          </w:r>
          <w:r>
            <w:t>46</w:t>
          </w:r>
        </w:p>
        <w:p>
          <w:pPr>
            <w:pStyle w:val="TOC2"/>
            <w:tabs>
              <w:tab w:val="right" w:leader="dot" w:pos="8738"/>
            </w:tabs>
            <w:ind w:left="300"/>
          </w:pPr>
          <w:r>
            <w:t xml:space="preserve">7.2 Two viable instrument pathways - and a recommended hybrid</w:t>
          </w:r>
          <w:r>
            <w:tab/>
          </w:r>
          <w:r>
            <w:t>47</w:t>
          </w:r>
        </w:p>
        <w:p>
          <w:pPr>
            <w:pStyle w:val="TOC2"/>
            <w:tabs>
              <w:tab w:val="right" w:leader="dot" w:pos="8738"/>
            </w:tabs>
            <w:ind w:left="300"/>
          </w:pPr>
          <w:r>
            <w:t xml:space="preserve">7.3 Institutional roles: a two-ministry sponsorship</w:t>
          </w:r>
          <w:r>
            <w:tab/>
          </w:r>
          <w:r>
            <w:t>47</w:t>
          </w:r>
        </w:p>
        <w:p>
          <w:pPr>
            <w:pStyle w:val="TOC2"/>
            <w:tabs>
              <w:tab w:val="right" w:leader="dot" w:pos="8738"/>
            </w:tabs>
            <w:ind w:left="300"/>
          </w:pPr>
          <w:r>
            <w:t xml:space="preserve">7.4 Emirate-level implementation agreements</w:t>
          </w:r>
          <w:r>
            <w:tab/>
          </w:r>
          <w:r>
            <w:t>48</w:t>
          </w:r>
        </w:p>
        <w:p>
          <w:pPr>
            <w:pStyle w:val="TOC2"/>
            <w:tabs>
              <w:tab w:val="right" w:leader="dot" w:pos="8738"/>
            </w:tabs>
            <w:ind w:left="300"/>
          </w:pPr>
          <w:r>
            <w:t xml:space="preserve">7.5 Alignment with the expected 2026 national EPR framework</w:t>
          </w:r>
          <w:r>
            <w:tab/>
          </w:r>
          <w:r>
            <w:t>48</w:t>
          </w:r>
        </w:p>
        <w:p>
          <w:pPr>
            <w:pStyle w:val="TOC2"/>
            <w:tabs>
              <w:tab w:val="right" w:leader="dot" w:pos="8738"/>
            </w:tabs>
            <w:ind w:left="300"/>
          </w:pPr>
          <w:r>
            <w:t xml:space="preserve">7.6 Timeline: 18-24 months from legislation to launch</w:t>
          </w:r>
          <w:r>
            <w:tab/>
          </w:r>
          <w:r>
            <w:t>49</w:t>
          </w:r>
        </w:p>
        <w:p>
          <w:pPr>
            <w:pStyle w:val="TOC2"/>
            <w:tabs>
              <w:tab w:val="right" w:leader="dot" w:pos="8738"/>
            </w:tabs>
            <w:ind w:left="300"/>
          </w:pPr>
          <w:r>
            <w:t xml:space="preserve">7.7 Draft Legislative Outline (structured annex)</w:t>
          </w:r>
          <w:r>
            <w:tab/>
          </w:r>
          <w:r>
            <w:t>49</w:t>
          </w:r>
        </w:p>
        <w:p>
          <w:pPr>
            <w:pStyle w:val="TOC1"/>
            <w:tabs>
              <w:tab w:val="right" w:leader="dot" w:pos="8738"/>
            </w:tabs>
            <w:ind w:left="0"/>
          </w:pPr>
          <w:r>
            <w:t xml:space="preserve">Chapter 8 - Implementation Roadmap 2026-2030</w:t>
          </w:r>
          <w:r>
            <w:tab/>
          </w:r>
          <w:r>
            <w:t>51</w:t>
          </w:r>
        </w:p>
        <w:p>
          <w:pPr>
            <w:pStyle w:val="TOC2"/>
            <w:tabs>
              <w:tab w:val="right" w:leader="dot" w:pos="8738"/>
            </w:tabs>
            <w:ind w:left="300"/>
          </w:pPr>
          <w:r>
            <w:t xml:space="preserve">8.1 Design principles for the national rollout</w:t>
          </w:r>
          <w:r>
            <w:tab/>
          </w:r>
          <w:r>
            <w:t>51</w:t>
          </w:r>
        </w:p>
        <w:p>
          <w:pPr>
            <w:pStyle w:val="TOC2"/>
            <w:tabs>
              <w:tab w:val="right" w:leader="dot" w:pos="8738"/>
            </w:tabs>
            <w:ind w:left="300"/>
          </w:pPr>
          <w:r>
            <w:t xml:space="preserve">8.2 Phase plan</w:t>
          </w:r>
          <w:r>
            <w:tab/>
          </w:r>
          <w:r>
            <w:t>51</w:t>
          </w:r>
        </w:p>
        <w:p>
          <w:pPr>
            <w:pStyle w:val="TOC2"/>
            <w:tabs>
              <w:tab w:val="right" w:leader="dot" w:pos="8738"/>
            </w:tabs>
            <w:ind w:left="300"/>
          </w:pPr>
          <w:r>
            <w:t xml:space="preserve">8.3 Milestones, owners and dependencies</w:t>
          </w:r>
          <w:r>
            <w:tab/>
          </w:r>
          <w:r>
            <w:t>54</w:t>
          </w:r>
        </w:p>
        <w:p>
          <w:pPr>
            <w:pStyle w:val="TOC1"/>
            <w:tabs>
              <w:tab w:val="right" w:leader="dot" w:pos="8738"/>
            </w:tabs>
            <w:ind w:left="0"/>
          </w:pPr>
          <w:r>
            <w:t xml:space="preserve">Chapter 9 - Risk Register, KPI Framework &amp; Stakeholder Engagement Plan</w:t>
          </w:r>
          <w:r>
            <w:tab/>
          </w:r>
          <w:r>
            <w:t>55</w:t>
          </w:r>
        </w:p>
        <w:p>
          <w:pPr>
            <w:pStyle w:val="TOC2"/>
            <w:tabs>
              <w:tab w:val="right" w:leader="dot" w:pos="8738"/>
            </w:tabs>
            <w:ind w:left="300"/>
          </w:pPr>
          <w:r>
            <w:t xml:space="preserve">9.1 Risk register &amp; mitigation</w:t>
          </w:r>
          <w:r>
            <w:tab/>
          </w:r>
          <w:r>
            <w:t>55</w:t>
          </w:r>
        </w:p>
        <w:p>
          <w:pPr>
            <w:pStyle w:val="TOC2"/>
            <w:tabs>
              <w:tab w:val="right" w:leader="dot" w:pos="8738"/>
            </w:tabs>
            <w:ind w:left="300"/>
          </w:pPr>
          <w:r>
            <w:t xml:space="preserve">9.2 KPI framework &amp; MRV protocol</w:t>
          </w:r>
          <w:r>
            <w:tab/>
          </w:r>
          <w:r>
            <w:t>56</w:t>
          </w:r>
        </w:p>
        <w:p>
          <w:pPr>
            <w:pStyle w:val="TOC2"/>
            <w:tabs>
              <w:tab w:val="right" w:leader="dot" w:pos="8738"/>
            </w:tabs>
            <w:ind w:left="300"/>
          </w:pPr>
          <w:r>
            <w:t xml:space="preserve">9.3 Stakeholder engagement plan</w:t>
          </w:r>
          <w:r>
            <w:tab/>
          </w:r>
          <w:r>
            <w:t>57</w:t>
          </w:r>
        </w:p>
        <w:p>
          <w:pPr>
            <w:pStyle w:val="TOC1"/>
            <w:tabs>
              <w:tab w:val="right" w:leader="dot" w:pos="8738"/>
            </w:tabs>
            <w:ind w:left="0"/>
          </w:pPr>
          <w:r>
            <w:t xml:space="preserve">Part IV - Financial Case</w:t>
          </w:r>
          <w:r>
            <w:tab/>
          </w:r>
          <w:r>
            <w:t>60</w:t>
          </w:r>
        </w:p>
        <w:p>
          <w:pPr>
            <w:pStyle w:val="TOC1"/>
            <w:tabs>
              <w:tab w:val="right" w:leader="dot" w:pos="8738"/>
            </w:tabs>
            <w:ind w:left="0"/>
          </w:pPr>
          <w:r>
            <w:t xml:space="preserve">Chapter 10 - Financial Model &amp; Economic Impact</w:t>
          </w:r>
          <w:r>
            <w:tab/>
          </w:r>
          <w:r>
            <w:t>61</w:t>
          </w:r>
        </w:p>
        <w:p>
          <w:pPr>
            <w:pStyle w:val="TOC2"/>
            <w:tabs>
              <w:tab w:val="right" w:leader="dot" w:pos="8738"/>
            </w:tabs>
            <w:ind w:left="300"/>
          </w:pPr>
          <w:r>
            <w:t xml:space="preserve">10.1 Chapter Summary</w:t>
          </w:r>
          <w:r>
            <w:tab/>
          </w:r>
          <w:r>
            <w:t>61</w:t>
          </w:r>
        </w:p>
        <w:p>
          <w:pPr>
            <w:pStyle w:val="TOC2"/>
            <w:tabs>
              <w:tab w:val="right" w:leader="dot" w:pos="8738"/>
            </w:tabs>
            <w:ind w:left="300"/>
          </w:pPr>
          <w:r>
            <w:t xml:space="preserve">10.2 Market Sizing: Units and Value</w:t>
          </w:r>
          <w:r>
            <w:tab/>
          </w:r>
          <w:r>
            <w:t>62</w:t>
          </w:r>
        </w:p>
        <w:p>
          <w:pPr>
            <w:pStyle w:val="TOC2"/>
            <w:tabs>
              <w:tab w:val="right" w:leader="dot" w:pos="8738"/>
            </w:tabs>
            <w:ind w:left="300"/>
          </w:pPr>
          <w:r>
            <w:t xml:space="preserve">10.3 Capital Expenditure: AED 664 Million, Phased 2026-2029</w:t>
          </w:r>
          <w:r>
            <w:tab/>
          </w:r>
          <w:r>
            <w:t>63</w:t>
          </w:r>
        </w:p>
        <w:p>
          <w:pPr>
            <w:pStyle w:val="TOC2"/>
            <w:tabs>
              <w:tab w:val="right" w:leader="dot" w:pos="8738"/>
            </w:tabs>
            <w:ind w:left="300"/>
          </w:pPr>
          <w:r>
            <w:t xml:space="preserve">10.4 Operating Expenditure: Trajectory to ~AED 1.08bn/yr</w:t>
          </w:r>
          <w:r>
            <w:tab/>
          </w:r>
          <w:r>
            <w:t>65</w:t>
          </w:r>
        </w:p>
        <w:p>
          <w:pPr>
            <w:pStyle w:val="TOC2"/>
            <w:tabs>
              <w:tab w:val="right" w:leader="dot" w:pos="8738"/>
            </w:tabs>
            <w:ind w:left="300"/>
          </w:pPr>
          <w:r>
            <w:t xml:space="preserve">10.5 Revenue Architecture: Designed for the Steady State</w:t>
          </w:r>
          <w:r>
            <w:tab/>
          </w:r>
          <w:r>
            <w:t>66</w:t>
          </w:r>
        </w:p>
        <w:p>
          <w:pPr>
            <w:pStyle w:val="TOC2"/>
            <w:tabs>
              <w:tab w:val="right" w:leader="dot" w:pos="8738"/>
            </w:tabs>
            <w:ind w:left="300"/>
          </w:pPr>
          <w:r>
            <w:t xml:space="preserve">10.6 The Deposit Float: What It Is - and What It Is Not</w:t>
          </w:r>
          <w:r>
            <w:tab/>
          </w:r>
          <w:r>
            <w:t>68</w:t>
          </w:r>
        </w:p>
        <w:p>
          <w:pPr>
            <w:pStyle w:val="TOC2"/>
            <w:tabs>
              <w:tab w:val="right" w:leader="dot" w:pos="8738"/>
            </w:tabs>
            <w:ind w:left="300"/>
          </w:pPr>
          <w:r>
            <w:t xml:space="preserve">10.7 System Returns: IRR 27.7%, NPV +AED 349m, Payback 2031</w:t>
          </w:r>
          <w:r>
            <w:tab/>
          </w:r>
          <w:r>
            <w:t>69</w:t>
          </w:r>
        </w:p>
        <w:p>
          <w:pPr>
            <w:pStyle w:val="TOC2"/>
            <w:tabs>
              <w:tab w:val="right" w:leader="dot" w:pos="8738"/>
            </w:tabs>
            <w:ind w:left="300"/>
          </w:pPr>
          <w:r>
            <w:t xml:space="preserve">10.8 Scenario Analysis: Honest Bounds on the Base Case</w:t>
          </w:r>
          <w:r>
            <w:tab/>
          </w:r>
          <w:r>
            <w:t>70</w:t>
          </w:r>
        </w:p>
        <w:p>
          <w:pPr>
            <w:pStyle w:val="TOC2"/>
            <w:tabs>
              <w:tab w:val="right" w:leader="dot" w:pos="8738"/>
            </w:tabs>
            <w:ind w:left="300"/>
          </w:pPr>
          <w:r>
            <w:t xml:space="preserve">10.9 Sensitivity: Fees Dominate - and the Return Rate Bites Inverted</w:t>
          </w:r>
          <w:r>
            <w:tab/>
          </w:r>
          <w:r>
            <w:t>71</w:t>
          </w:r>
        </w:p>
        <w:p>
          <w:pPr>
            <w:pStyle w:val="TOC2"/>
            <w:tabs>
              <w:tab w:val="right" w:leader="dot" w:pos="8738"/>
            </w:tabs>
            <w:ind w:left="300"/>
          </w:pPr>
          <w:r>
            <w:t xml:space="preserve">10.10 Macro-Economic Impact</w:t>
          </w:r>
          <w:r>
            <w:tab/>
          </w:r>
          <w:r>
            <w:t>72</w:t>
          </w:r>
        </w:p>
        <w:p>
          <w:pPr>
            <w:pStyle w:val="TOC2"/>
            <w:tabs>
              <w:tab w:val="right" w:leader="dot" w:pos="8738"/>
            </w:tabs>
            <w:ind w:left="300"/>
          </w:pPr>
          <w:r>
            <w:t xml:space="preserve">10.11 Conclusion</w:t>
          </w:r>
          <w:r>
            <w:tab/>
          </w:r>
          <w:r>
            <w:t>73</w:t>
          </w:r>
        </w:p>
        <w:p>
          <w:pPr>
            <w:pStyle w:val="TOC1"/>
            <w:tabs>
              <w:tab w:val="right" w:leader="dot" w:pos="8738"/>
            </w:tabs>
            <w:ind w:left="0"/>
          </w:pPr>
          <w:r>
            <w:t xml:space="preserve">Part V - Sources &amp; Annexes</w:t>
          </w:r>
          <w:r>
            <w:tab/>
          </w:r>
          <w:r>
            <w:t>75</w:t>
          </w:r>
        </w:p>
        <w:p>
          <w:pPr>
            <w:pStyle w:val="TOC1"/>
            <w:tabs>
              <w:tab w:val="right" w:leader="dot" w:pos="8738"/>
            </w:tabs>
            <w:ind w:left="0"/>
          </w:pPr>
          <w:r>
            <w:t xml:space="preserve">Chapter 11 - Sources &amp; Methodology</w:t>
          </w:r>
          <w:r>
            <w:tab/>
          </w:r>
          <w:r>
            <w:t>76</w:t>
          </w:r>
        </w:p>
        <w:p>
          <w:pPr>
            <w:pStyle w:val="TOC2"/>
            <w:tabs>
              <w:tab w:val="right" w:leader="dot" w:pos="8738"/>
            </w:tabs>
            <w:ind w:left="300"/>
          </w:pPr>
          <w:r>
            <w:t xml:space="preserve">11.1 Research basis</w:t>
          </w:r>
          <w:r>
            <w:tab/>
          </w:r>
          <w:r>
            <w:t>76</w:t>
          </w:r>
        </w:p>
        <w:p>
          <w:pPr>
            <w:pStyle w:val="TOC2"/>
            <w:tabs>
              <w:tab w:val="right" w:leader="dot" w:pos="8738"/>
            </w:tabs>
            <w:ind w:left="300"/>
          </w:pPr>
          <w:r>
            <w:t xml:space="preserve">11.2 Citation style</w:t>
          </w:r>
          <w:r>
            <w:tab/>
          </w:r>
          <w:r>
            <w:t>77</w:t>
          </w:r>
        </w:p>
        <w:p>
          <w:pPr>
            <w:pStyle w:val="TOC2"/>
            <w:tabs>
              <w:tab w:val="right" w:leader="dot" w:pos="8738"/>
            </w:tabs>
            <w:ind w:left="300"/>
          </w:pPr>
          <w:r>
            <w:t xml:space="preserve">11.3 Data-status labels</w:t>
          </w:r>
          <w:r>
            <w:tab/>
          </w:r>
          <w:r>
            <w:t>77</w:t>
          </w:r>
        </w:p>
        <w:p>
          <w:pPr>
            <w:pStyle w:val="TOC2"/>
            <w:tabs>
              <w:tab w:val="right" w:leader="dot" w:pos="8738"/>
            </w:tabs>
            <w:ind w:left="300"/>
          </w:pPr>
          <w:r>
            <w:t xml:space="preserve">11.4 Standing data gaps and Phase-1 validation actions</w:t>
          </w:r>
          <w:r>
            <w:tab/>
          </w:r>
          <w:r>
            <w:t>77</w:t>
          </w:r>
        </w:p>
        <w:p>
          <w:pPr>
            <w:pStyle w:val="TOC2"/>
            <w:tabs>
              <w:tab w:val="right" w:leader="dot" w:pos="8738"/>
            </w:tabs>
            <w:ind w:left="300"/>
          </w:pPr>
          <w:r>
            <w:t xml:space="preserve">11.5 Financial conventions</w:t>
          </w:r>
          <w:r>
            <w:tab/>
          </w:r>
          <w:r>
            <w:t>77</w:t>
          </w:r>
        </w:p>
        <w:p>
          <w:pPr>
            <w:pStyle w:val="TOC1"/>
            <w:tabs>
              <w:tab w:val="right" w:leader="dot" w:pos="8738"/>
            </w:tabs>
            <w:ind w:left="0"/>
          </w:pPr>
          <w:r>
            <w:t xml:space="preserve">Annex A - Register of [INFOGRAPHIC] Markers</w:t>
          </w:r>
          <w:r>
            <w:tab/>
          </w:r>
          <w:r>
            <w:t>78</w:t>
          </w:r>
        </w:p>
        <w:p>
          <w:r>
            <w:fldChar w:fldCharType="end"/>
          </w:r>
        </w:p>
      </w:sdtContent>
    </w:sdt>
    <w:p>
      <w:pPr>
        <w:pageBreakBefore/>
        <w:spacing w:after="120" w:before="3600"/>
        <w:jc w:val="center"/>
      </w:pPr>
      <w:r>
        <w:rPr>
          <w:rFonts w:ascii="Georgia" w:cs="Georgia" w:eastAsia="Georgia" w:hAnsi="Georgia"/>
          <w:b/>
          <w:bCs/>
          <w:color w:val="C9A227"/>
          <w:spacing w:val="60"/>
          <w:sz w:val="26"/>
          <w:szCs w:val="26"/>
        </w:rPr>
        <w:t xml:space="preserve">PART I</w:t>
      </w:r>
    </w:p>
    <w:p>
      <w:pPr>
        <w:pStyle w:val="Heading1"/>
        <w:spacing w:after="200"/>
        <w:jc w:val="center"/>
      </w:pPr>
      <w:r>
        <w:rPr>
          <w:rFonts w:ascii="Georgia" w:cs="Georgia" w:eastAsia="Georgia" w:hAnsi="Georgia"/>
          <w:b/>
          <w:bCs/>
          <w:color w:val="1B2A4A"/>
          <w:sz w:val="56"/>
          <w:szCs w:val="56"/>
        </w:rPr>
        <w:t xml:space="preserve">Framing &amp; Strategic Case</w:t>
      </w:r>
    </w:p>
    <w:p>
      <w:pPr>
        <w:pBdr>
          <w:bottom w:val="single" w:color="C9A227" w:sz="12" w:space="1"/>
        </w:pBdr>
        <w:spacing w:after="200"/>
        <w:jc w:val="center"/>
      </w:pPr>
      <w:r>
        <w:rPr>
          <w:sz w:val="8"/>
          <w:szCs w:val="8"/>
        </w:rPr>
        <w:t xml:space="preserve"> </w:t>
      </w:r>
    </w:p>
    <w:p>
      <w:pPr>
        <w:pageBreakBefore/>
        <w:spacing w:after="80" w:before="0"/>
      </w:pPr>
      <w:r>
        <w:rPr>
          <w:rFonts w:ascii="Georgia" w:cs="Georgia" w:eastAsia="Georgia" w:hAnsi="Georgia"/>
          <w:b/>
          <w:bCs/>
          <w:color w:val="C9A227"/>
          <w:spacing w:val="40"/>
          <w:sz w:val="20"/>
          <w:szCs w:val="20"/>
        </w:rPr>
        <w:t xml:space="preserve">CHAPTER 1</w:t>
      </w:r>
    </w:p>
    <w:p>
      <w:pPr>
        <w:pStyle w:val="Heading1"/>
        <w:pBdr>
          <w:bottom w:val="single" w:color="C9A227" w:sz="10" w:space="4"/>
        </w:pBdr>
        <w:spacing w:after="280"/>
      </w:pPr>
      <w:r>
        <w:rPr>
          <w:rFonts w:ascii="Georgia" w:cs="Georgia" w:eastAsia="Georgia" w:hAnsi="Georgia"/>
          <w:b/>
          <w:bCs/>
          <w:color w:val="1B2A4A"/>
          <w:sz w:val="44"/>
          <w:szCs w:val="44"/>
        </w:rPr>
        <w:t xml:space="preserve">Executive Summary</w:t>
      </w:r>
    </w:p>
    <w:p>
      <w:pPr>
        <w:pStyle w:val="Heading2"/>
        <w:keepNext/>
        <w:spacing w:after="140" w:before="340"/>
      </w:pPr>
      <w:r>
        <w:rPr>
          <w:rFonts w:ascii="Georgia" w:cs="Georgia" w:eastAsia="Georgia" w:hAnsi="Georgia"/>
          <w:b/>
          <w:bCs/>
          <w:color w:val="1B2A4A"/>
          <w:sz w:val="30"/>
          <w:szCs w:val="30"/>
        </w:rPr>
        <w:t xml:space="preserve">1.1 The opportunity</w:t>
      </w:r>
    </w:p>
    <w:p>
      <w:pPr>
        <w:spacing w:after="160" w:line="300"/>
        <w:jc w:val="both"/>
      </w:pPr>
      <w:r>
        <w:t xml:space="preserve">The UAE has legislated waste and pollution out of the easiest streams first. The final phase of the federal single-use plastics ban (Ministerial Decision No. 380 of 2022) entered into force on </w:t>
      </w:r>
      <w:r>
        <w:rPr>
          <w:b/>
          <w:bCs/>
        </w:rPr>
        <w:t xml:space="preserve">1 January 2026</w:t>
      </w:r>
      <w:r>
        <w:t xml:space="preserve">, removing single-use cups, lids, cutlery, plates, straws, stirrers and foam food containers from import, production and trade (Plastics News, 2026; USDA FAS, 2023). One high-volume, high-visibility stream remains: </w:t>
      </w:r>
      <w:r>
        <w:rPr>
          <w:b/>
          <w:bCs/>
        </w:rPr>
        <w:t xml:space="preserve">single-use beverage containers</w:t>
      </w:r>
      <w:r>
        <w:t xml:space="preserve"> - an estimated </w:t>
      </w:r>
      <w:r>
        <w:rPr>
          <w:b/>
          <w:bCs/>
        </w:rPr>
        <w:t xml:space="preserve">3.7 billion PET bottles, aluminium cans and glass bottles placed on market (POM) in the UAE each year</w:t>
      </w:r>
      <w:r>
        <w:t xml:space="preserve"> (Segen/Earth Care market survey, 2026; figures modelled pending producer/importer validation). These containers are the number-one item in litter studies worldwide and are linked to over half of marine plastic pollution (Earth Care Consulting, 2025).</w:t>
      </w:r>
    </w:p>
    <w:p>
      <w:pPr>
        <w:spacing w:after="160" w:line="300"/>
        <w:jc w:val="both"/>
      </w:pPr>
      <w:r>
        <w:t xml:space="preserve">Deposit Return Systems (DRS) are the proven answer. More than </w:t>
      </w:r>
      <w:r>
        <w:rPr>
          <w:b/>
          <w:bCs/>
        </w:rPr>
        <w:t xml:space="preserve">400 million people</w:t>
      </w:r>
      <w:r>
        <w:t xml:space="preserve"> already live in DRS jurisdictions, and mature systems achieve </w:t>
      </w:r>
      <w:r>
        <w:rPr>
          <w:b/>
          <w:bCs/>
        </w:rPr>
        <w:t xml:space="preserve">85-98% return rates</w:t>
      </w:r>
      <w:r>
        <w:t xml:space="preserve"> - Lithuania 92.3%, Slovakia 92.4% in its first full year, Germany above 98% (Earth Care Consulting, 2025). Abu Dhabi's incentive-based Bottle Return Scheme - run by the Environment Agency-Abu Dhabi (EAD) with Sparklo since 2023 - has already recovered </w:t>
      </w:r>
      <w:r>
        <w:rPr>
          <w:b/>
          <w:bCs/>
        </w:rPr>
        <w:t xml:space="preserve">more than 2,000 tonnes of beverage containers since launch</w:t>
      </w:r>
      <w:r>
        <w:t xml:space="preserve">, including </w:t>
      </w:r>
      <w:r>
        <w:rPr>
          <w:b/>
          <w:bCs/>
        </w:rPr>
        <w:t xml:space="preserve">23 million units collected in 2024 alone</w:t>
      </w:r>
      <w:r>
        <w:t xml:space="preserve">, through a network of </w:t>
      </w:r>
      <w:r>
        <w:rPr>
          <w:b/>
          <w:bCs/>
        </w:rPr>
        <w:t xml:space="preserve">100+ reverse vending machines</w:t>
      </w:r>
      <w:r>
        <w:t xml:space="preserve"> - all without any deposit - proving UAE consumer acceptance of machine-based returns (Abu Dhabi Media Office, 2025).</w:t>
      </w:r>
    </w:p>
    <w:p>
      <w:pPr>
        <w:pStyle w:val="Heading2"/>
        <w:keepNext/>
        <w:spacing w:after="140" w:before="340"/>
      </w:pPr>
      <w:r>
        <w:rPr>
          <w:rFonts w:ascii="Georgia" w:cs="Georgia" w:eastAsia="Georgia" w:hAnsi="Georgia"/>
          <w:b/>
          <w:bCs/>
          <w:color w:val="1B2A4A"/>
          <w:sz w:val="30"/>
          <w:szCs w:val="30"/>
        </w:rPr>
        <w:t xml:space="preserve">1.2 The proposal</w:t>
      </w:r>
    </w:p>
    <w:p>
      <w:pPr>
        <w:spacing w:after="160" w:line="300"/>
        <w:jc w:val="both"/>
      </w:pPr>
      <w:r>
        <w:t xml:space="preserve">Segen, a Dubai-based strategic advisory and project-development firm, together with Earth Care Consulting - European specialists with implementation roles in the Lithuanian, Slovak, Austrian and Portuguese DRS launches and a current advisory mandate to the UK Government (Earth Care Consulting, 2025) - proposes to design, finance, build and operate the </w:t>
      </w:r>
      <w:r>
        <w:rPr>
          <w:b/>
          <w:bCs/>
        </w:rPr>
        <w:t xml:space="preserve">UAE Beverage Container Deposit Return and Recycling System</w:t>
      </w:r>
      <w:r>
        <w:t xml:space="preserve"> as a national public-private initiative under the sponsorship and supervision of the federal government.</w:t>
      </w:r>
    </w:p>
    <w:p>
      <w:pPr>
        <w:spacing w:after="160" w:line="300"/>
        <w:jc w:val="both"/>
      </w:pPr>
      <w:r>
        <w:t xml:space="preserve">The system is deliberately simple for consumers and rigorous for industry:</w:t>
      </w:r>
    </w:p>
    <w:p>
      <w:pPr>
        <w:spacing w:after="90" w:line="290"/>
        <w:ind w:left="380" w:hanging="180"/>
      </w:pPr>
      <w:r>
        <w:rPr>
          <w:b/>
          <w:bCs/>
          <w:color w:val="C9A227"/>
        </w:rPr>
        <w:t xml:space="preserve">• </w:t>
      </w:r>
      <w:r>
        <w:t xml:space="preserve">A </w:t>
      </w:r>
      <w:r>
        <w:rPr>
          <w:b/>
          <w:bCs/>
        </w:rPr>
        <w:t xml:space="preserve">small, fully refundable deposit</w:t>
      </w:r>
      <w:r>
        <w:t xml:space="preserve"> - recommended reference level </w:t>
      </w:r>
      <w:r>
        <w:rPr>
          <w:b/>
          <w:bCs/>
        </w:rPr>
        <w:t xml:space="preserve">AED 0.25 flat</w:t>
      </w:r>
      <w:r>
        <w:t xml:space="preserve"> per container (non-binding; for policymakers' consideration) - applied at purchase and refunded in full on return;</w:t>
      </w:r>
    </w:p>
    <w:p>
      <w:pPr>
        <w:spacing w:after="90" w:line="290"/>
        <w:ind w:left="380" w:hanging="180"/>
      </w:pPr>
      <w:r>
        <w:rPr>
          <w:b/>
          <w:bCs/>
          <w:color w:val="C9A227"/>
        </w:rPr>
        <w:t xml:space="preserve">• </w:t>
      </w:r>
      <w:r>
        <w:t xml:space="preserve">A national return network of </w:t>
      </w:r>
      <w:r>
        <w:rPr>
          <w:b/>
          <w:bCs/>
        </w:rPr>
        <w:t xml:space="preserve">3,500 Reverse Vending Machines (RVMs)</w:t>
      </w:r>
      <w:r>
        <w:t xml:space="preserve"> plus manual and HoReCa (hotel, restaurant and café) collection points - approximately </w:t>
      </w:r>
      <w:r>
        <w:rPr>
          <w:b/>
          <w:bCs/>
        </w:rPr>
        <w:t xml:space="preserve">9,000 return points</w:t>
      </w:r>
      <w:r>
        <w:t xml:space="preserve">, one per ~1,250 residents - across supermarkets, malls, petrol stations, transit hubs and public locations;</w:t>
      </w:r>
    </w:p>
    <w:p>
      <w:pPr>
        <w:spacing w:after="90" w:line="290"/>
        <w:ind w:left="380" w:hanging="180"/>
      </w:pPr>
      <w:r>
        <w:rPr>
          <w:b/>
          <w:bCs/>
          <w:color w:val="C9A227"/>
        </w:rPr>
        <w:t xml:space="preserve">• </w:t>
      </w:r>
      <w:r>
        <w:rPr>
          <w:b/>
          <w:bCs/>
        </w:rPr>
        <w:t xml:space="preserve">Three counting and sorting centres</w:t>
      </w:r>
      <w:r>
        <w:t xml:space="preserve"> (Dubai, Abu Dhabi, Sharjah/Northern Emirates) and a central technology platform registering every eligible container, deposit transaction and recycled tonne;</w:t>
      </w:r>
    </w:p>
    <w:p>
      <w:pPr>
        <w:spacing w:after="90" w:line="290"/>
        <w:ind w:left="380" w:hanging="180"/>
      </w:pPr>
      <w:r>
        <w:rPr>
          <w:b/>
          <w:bCs/>
          <w:color w:val="C9A227"/>
        </w:rPr>
        <w:t xml:space="preserve">• </w:t>
      </w:r>
      <w:r>
        <w:rPr>
          <w:b/>
          <w:bCs/>
        </w:rPr>
        <w:t xml:space="preserve">Producer funding</w:t>
      </w:r>
      <w:r>
        <w:t xml:space="preserve">: recommended producer fees of </w:t>
      </w:r>
      <w:r>
        <w:rPr>
          <w:b/>
          <w:bCs/>
        </w:rPr>
        <w:t xml:space="preserve">AED 0.20 / 0.08 / 0.24 per container</w:t>
      </w:r>
      <w:r>
        <w:t xml:space="preserve"> for PET / aluminium / glass (non-binding), calibrated for steady-state cost recovery with an annual statutory fee review.</w:t>
      </w:r>
    </w:p>
    <w:p>
      <w:pPr>
        <w:spacing w:after="160" w:line="300"/>
        <w:jc w:val="both"/>
      </w:pPr>
      <w:r>
        <w:rPr>
          <w:b/>
          <w:bCs/>
        </w:rPr>
        <w:t xml:space="preserve">A binding design principle:</w:t>
      </w:r>
      <w:r>
        <w:t xml:space="preserve"> deposit funds are pass-through liabilities, never operator revenue. Segen will earn </w:t>
      </w:r>
      <w:r>
        <w:rPr>
          <w:b/>
          <w:bCs/>
        </w:rPr>
        <w:t xml:space="preserve">zero income from unredeemed deposits</w:t>
      </w:r>
      <w:r>
        <w:t xml:space="preserve">: every dirham of deposits on containers that are never returned is held in a transparent, supervised escrow reserve. Segen's commercial benefit comes solely from managing the collection, sorting, processing and recycling operations and from the value of the recovered materials - stated in its own Project Description and hard-wired into the financial structure.</w:t>
      </w:r>
    </w:p>
    <w:p>
      <w:pPr>
        <w:pStyle w:val="Heading2"/>
        <w:keepNext/>
        <w:spacing w:after="140" w:before="340"/>
      </w:pPr>
      <w:r>
        <w:rPr>
          <w:rFonts w:ascii="Georgia" w:cs="Georgia" w:eastAsia="Georgia" w:hAnsi="Georgia"/>
          <w:b/>
          <w:bCs/>
          <w:color w:val="1B2A4A"/>
          <w:sz w:val="30"/>
          <w:szCs w:val="30"/>
        </w:rPr>
        <w:t xml:space="preserve">1.3 Headline economics</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4369"/>
        <w:gridCol w:w="4369"/>
      </w:tblGrid>
      <w:tr>
        <w:trPr>
          <w:tblHeader/>
        </w:trPr>
        <w:tc>
          <w:tcPr>
            <w:tcW w:type="dxa" w:w="4369"/>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Metric</w:t>
            </w:r>
          </w:p>
        </w:tc>
        <w:tc>
          <w:tcPr>
            <w:tcW w:type="dxa" w:w="4369"/>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Value</w:t>
            </w:r>
          </w:p>
        </w:tc>
      </w:tr>
      <w:tr>
        <w:tc>
          <w:tcPr>
            <w:tcW w:type="dxa" w:w="4369"/>
            <w:shd w:fill="FFFFFF" w:val="clear"/>
            <w:tcMar>
              <w:top w:type="dxa" w:w="80"/>
              <w:left w:type="dxa" w:w="100"/>
              <w:bottom w:type="dxa" w:w="80"/>
              <w:right w:type="dxa" w:w="100"/>
            </w:tcMar>
          </w:tcPr>
          <w:p>
            <w:pPr>
              <w:spacing w:after="0" w:line="240"/>
            </w:pPr>
            <w:r>
              <w:rPr>
                <w:sz w:val="17"/>
                <w:szCs w:val="17"/>
              </w:rPr>
              <w:t xml:space="preserve">Total CAPEX (2026-2029, phased)</w:t>
            </w:r>
          </w:p>
        </w:tc>
        <w:tc>
          <w:tcPr>
            <w:tcW w:type="dxa" w:w="4369"/>
            <w:shd w:fill="FFFFFF" w:val="clear"/>
            <w:tcMar>
              <w:top w:type="dxa" w:w="80"/>
              <w:left w:type="dxa" w:w="100"/>
              <w:bottom w:type="dxa" w:w="80"/>
              <w:right w:type="dxa" w:w="100"/>
            </w:tcMar>
          </w:tcPr>
          <w:p>
            <w:pPr>
              <w:spacing w:after="0" w:line="240"/>
            </w:pPr>
            <w:r>
              <w:rPr>
                <w:b/>
                <w:bCs/>
                <w:sz w:val="17"/>
                <w:szCs w:val="17"/>
              </w:rPr>
              <w:t xml:space="preserve">AED 664 million</w:t>
            </w:r>
            <w:r>
              <w:rPr>
                <w:sz w:val="17"/>
                <w:szCs w:val="17"/>
              </w:rPr>
              <w:t xml:space="preserve"> (~AED 59 per resident)</w:t>
            </w:r>
          </w:p>
        </w:tc>
      </w:tr>
      <w:tr>
        <w:tc>
          <w:tcPr>
            <w:tcW w:type="dxa" w:w="4369"/>
            <w:shd w:fill="F5F1E8" w:val="clear"/>
            <w:tcMar>
              <w:top w:type="dxa" w:w="80"/>
              <w:left w:type="dxa" w:w="100"/>
              <w:bottom w:type="dxa" w:w="80"/>
              <w:right w:type="dxa" w:w="100"/>
            </w:tcMar>
          </w:tcPr>
          <w:p>
            <w:pPr>
              <w:spacing w:after="0" w:line="240"/>
            </w:pPr>
            <w:r>
              <w:rPr>
                <w:sz w:val="17"/>
                <w:szCs w:val="17"/>
              </w:rPr>
              <w:t xml:space="preserve">RVM fleet</w:t>
            </w:r>
          </w:p>
        </w:tc>
        <w:tc>
          <w:tcPr>
            <w:tcW w:type="dxa" w:w="4369"/>
            <w:shd w:fill="F5F1E8" w:val="clear"/>
            <w:tcMar>
              <w:top w:type="dxa" w:w="80"/>
              <w:left w:type="dxa" w:w="100"/>
              <w:bottom w:type="dxa" w:w="80"/>
              <w:right w:type="dxa" w:w="100"/>
            </w:tcMar>
          </w:tcPr>
          <w:p>
            <w:pPr>
              <w:spacing w:after="0" w:line="240"/>
            </w:pPr>
            <w:r>
              <w:rPr>
                <w:b/>
                <w:bCs/>
                <w:sz w:val="17"/>
                <w:szCs w:val="17"/>
              </w:rPr>
              <w:t xml:space="preserve">3,500 machines (AED 385m)</w:t>
            </w:r>
          </w:p>
        </w:tc>
      </w:tr>
      <w:tr>
        <w:tc>
          <w:tcPr>
            <w:tcW w:type="dxa" w:w="4369"/>
            <w:shd w:fill="FFFFFF" w:val="clear"/>
            <w:tcMar>
              <w:top w:type="dxa" w:w="80"/>
              <w:left w:type="dxa" w:w="100"/>
              <w:bottom w:type="dxa" w:w="80"/>
              <w:right w:type="dxa" w:w="100"/>
            </w:tcMar>
          </w:tcPr>
          <w:p>
            <w:pPr>
              <w:spacing w:after="0" w:line="240"/>
            </w:pPr>
            <w:r>
              <w:rPr>
                <w:sz w:val="17"/>
                <w:szCs w:val="17"/>
              </w:rPr>
              <w:t xml:space="preserve">Counting/sorting centres, IT, logistics, setup, contingency</w:t>
            </w:r>
          </w:p>
        </w:tc>
        <w:tc>
          <w:tcPr>
            <w:tcW w:type="dxa" w:w="4369"/>
            <w:shd w:fill="FFFFFF" w:val="clear"/>
            <w:tcMar>
              <w:top w:type="dxa" w:w="80"/>
              <w:left w:type="dxa" w:w="100"/>
              <w:bottom w:type="dxa" w:w="80"/>
              <w:right w:type="dxa" w:w="100"/>
            </w:tcMar>
          </w:tcPr>
          <w:p>
            <w:pPr>
              <w:spacing w:after="0" w:line="240"/>
            </w:pPr>
            <w:r>
              <w:rPr>
                <w:sz w:val="17"/>
                <w:szCs w:val="17"/>
              </w:rPr>
              <w:t xml:space="preserve">AED 279m</w:t>
            </w:r>
          </w:p>
        </w:tc>
      </w:tr>
      <w:tr>
        <w:tc>
          <w:tcPr>
            <w:tcW w:type="dxa" w:w="4369"/>
            <w:shd w:fill="F5F1E8" w:val="clear"/>
            <w:tcMar>
              <w:top w:type="dxa" w:w="80"/>
              <w:left w:type="dxa" w:w="100"/>
              <w:bottom w:type="dxa" w:w="80"/>
              <w:right w:type="dxa" w:w="100"/>
            </w:tcMar>
          </w:tcPr>
          <w:p>
            <w:pPr>
              <w:spacing w:after="0" w:line="240"/>
            </w:pPr>
            <w:r>
              <w:rPr>
                <w:sz w:val="17"/>
                <w:szCs w:val="17"/>
              </w:rPr>
              <w:t xml:space="preserve">Containers placed on market at 2028 launch</w:t>
            </w:r>
          </w:p>
        </w:tc>
        <w:tc>
          <w:tcPr>
            <w:tcW w:type="dxa" w:w="4369"/>
            <w:shd w:fill="F5F1E8" w:val="clear"/>
            <w:tcMar>
              <w:top w:type="dxa" w:w="80"/>
              <w:left w:type="dxa" w:w="100"/>
              <w:bottom w:type="dxa" w:w="80"/>
              <w:right w:type="dxa" w:w="100"/>
            </w:tcMar>
          </w:tcPr>
          <w:p>
            <w:pPr>
              <w:spacing w:after="0" w:line="240"/>
            </w:pPr>
            <w:r>
              <w:rPr>
                <w:b/>
                <w:bCs/>
                <w:sz w:val="17"/>
                <w:szCs w:val="17"/>
              </w:rPr>
              <w:t xml:space="preserve">3.74 billion/yr</w:t>
            </w:r>
            <w:r>
              <w:rPr>
                <w:sz w:val="17"/>
                <w:szCs w:val="17"/>
              </w:rPr>
              <w:t xml:space="preserve"> (PET 2.90 / cans 0.66 / glass 0.18)</w:t>
            </w:r>
          </w:p>
        </w:tc>
      </w:tr>
      <w:tr>
        <w:tc>
          <w:tcPr>
            <w:tcW w:type="dxa" w:w="4369"/>
            <w:shd w:fill="FFFFFF" w:val="clear"/>
            <w:tcMar>
              <w:top w:type="dxa" w:w="80"/>
              <w:left w:type="dxa" w:w="100"/>
              <w:bottom w:type="dxa" w:w="80"/>
              <w:right w:type="dxa" w:w="100"/>
            </w:tcMar>
          </w:tcPr>
          <w:p>
            <w:pPr>
              <w:spacing w:after="0" w:line="240"/>
            </w:pPr>
            <w:r>
              <w:rPr>
                <w:sz w:val="17"/>
                <w:szCs w:val="17"/>
              </w:rPr>
              <w:t xml:space="preserve">Return-rate path</w:t>
            </w:r>
          </w:p>
        </w:tc>
        <w:tc>
          <w:tcPr>
            <w:tcW w:type="dxa" w:w="4369"/>
            <w:shd w:fill="FFFFFF" w:val="clear"/>
            <w:tcMar>
              <w:top w:type="dxa" w:w="80"/>
              <w:left w:type="dxa" w:w="100"/>
              <w:bottom w:type="dxa" w:w="80"/>
              <w:right w:type="dxa" w:w="100"/>
            </w:tcMar>
          </w:tcPr>
          <w:p>
            <w:pPr>
              <w:spacing w:after="0" w:line="240"/>
            </w:pPr>
            <w:r>
              <w:rPr>
                <w:sz w:val="17"/>
                <w:szCs w:val="17"/>
              </w:rPr>
              <w:t xml:space="preserve">55% (year 1) → </w:t>
            </w:r>
            <w:r>
              <w:rPr>
                <w:b/>
                <w:bCs/>
                <w:sz w:val="17"/>
                <w:szCs w:val="17"/>
              </w:rPr>
              <w:t xml:space="preserve">90% by 2034</w:t>
            </w:r>
          </w:p>
        </w:tc>
      </w:tr>
      <w:tr>
        <w:tc>
          <w:tcPr>
            <w:tcW w:type="dxa" w:w="4369"/>
            <w:shd w:fill="F5F1E8" w:val="clear"/>
            <w:tcMar>
              <w:top w:type="dxa" w:w="80"/>
              <w:left w:type="dxa" w:w="100"/>
              <w:bottom w:type="dxa" w:w="80"/>
              <w:right w:type="dxa" w:w="100"/>
            </w:tcMar>
          </w:tcPr>
          <w:p>
            <w:pPr>
              <w:spacing w:after="0" w:line="240"/>
            </w:pPr>
            <w:r>
              <w:rPr>
                <w:sz w:val="17"/>
                <w:szCs w:val="17"/>
              </w:rPr>
              <w:t xml:space="preserve">Steady-state system revenue / cost (2034)</w:t>
            </w:r>
          </w:p>
        </w:tc>
        <w:tc>
          <w:tcPr>
            <w:tcW w:type="dxa" w:w="4369"/>
            <w:shd w:fill="F5F1E8" w:val="clear"/>
            <w:tcMar>
              <w:top w:type="dxa" w:w="80"/>
              <w:left w:type="dxa" w:w="100"/>
              <w:bottom w:type="dxa" w:w="80"/>
              <w:right w:type="dxa" w:w="100"/>
            </w:tcMar>
          </w:tcPr>
          <w:p>
            <w:pPr>
              <w:spacing w:after="0" w:line="240"/>
            </w:pPr>
            <w:r>
              <w:rPr>
                <w:sz w:val="17"/>
                <w:szCs w:val="17"/>
              </w:rPr>
              <w:t xml:space="preserve">~</w:t>
            </w:r>
            <w:r>
              <w:rPr>
                <w:b/>
                <w:bCs/>
                <w:sz w:val="17"/>
                <w:szCs w:val="17"/>
              </w:rPr>
              <w:t xml:space="preserve">AED 1.10bn</w:t>
            </w:r>
            <w:r>
              <w:rPr>
                <w:sz w:val="17"/>
                <w:szCs w:val="17"/>
              </w:rPr>
              <w:t xml:space="preserve"> / ~AED 1.08bn per year</w:t>
            </w:r>
          </w:p>
        </w:tc>
      </w:tr>
      <w:tr>
        <w:tc>
          <w:tcPr>
            <w:tcW w:type="dxa" w:w="4369"/>
            <w:shd w:fill="FFFFFF" w:val="clear"/>
            <w:tcMar>
              <w:top w:type="dxa" w:w="80"/>
              <w:left w:type="dxa" w:w="100"/>
              <w:bottom w:type="dxa" w:w="80"/>
              <w:right w:type="dxa" w:w="100"/>
            </w:tcMar>
          </w:tcPr>
          <w:p>
            <w:pPr>
              <w:spacing w:after="0" w:line="240"/>
            </w:pPr>
            <w:r>
              <w:rPr>
                <w:sz w:val="17"/>
                <w:szCs w:val="17"/>
              </w:rPr>
              <w:t xml:space="preserve">System project IRR (unlevered) / NPV @ 8%</w:t>
            </w:r>
          </w:p>
        </w:tc>
        <w:tc>
          <w:tcPr>
            <w:tcW w:type="dxa" w:w="4369"/>
            <w:shd w:fill="FFFFFF" w:val="clear"/>
            <w:tcMar>
              <w:top w:type="dxa" w:w="80"/>
              <w:left w:type="dxa" w:w="100"/>
              <w:bottom w:type="dxa" w:w="80"/>
              <w:right w:type="dxa" w:w="100"/>
            </w:tcMar>
          </w:tcPr>
          <w:p>
            <w:pPr>
              <w:spacing w:after="0" w:line="240"/>
            </w:pPr>
            <w:r>
              <w:rPr>
                <w:b/>
                <w:bCs/>
                <w:sz w:val="17"/>
                <w:szCs w:val="17"/>
              </w:rPr>
              <w:t xml:space="preserve">27.7% / +AED 349m</w:t>
            </w:r>
          </w:p>
        </w:tc>
      </w:tr>
      <w:tr>
        <w:tc>
          <w:tcPr>
            <w:tcW w:type="dxa" w:w="4369"/>
            <w:shd w:fill="F5F1E8" w:val="clear"/>
            <w:tcMar>
              <w:top w:type="dxa" w:w="80"/>
              <w:left w:type="dxa" w:w="100"/>
              <w:bottom w:type="dxa" w:w="80"/>
              <w:right w:type="dxa" w:w="100"/>
            </w:tcMar>
          </w:tcPr>
          <w:p>
            <w:pPr>
              <w:spacing w:after="0" w:line="240"/>
            </w:pPr>
            <w:r>
              <w:rPr>
                <w:sz w:val="17"/>
                <w:szCs w:val="17"/>
              </w:rPr>
              <w:t xml:space="preserve">Payback / peak funding need</w:t>
            </w:r>
          </w:p>
        </w:tc>
        <w:tc>
          <w:tcPr>
            <w:tcW w:type="dxa" w:w="4369"/>
            <w:shd w:fill="F5F1E8" w:val="clear"/>
            <w:tcMar>
              <w:top w:type="dxa" w:w="80"/>
              <w:left w:type="dxa" w:w="100"/>
              <w:bottom w:type="dxa" w:w="80"/>
              <w:right w:type="dxa" w:w="100"/>
            </w:tcMar>
          </w:tcPr>
          <w:p>
            <w:pPr>
              <w:spacing w:after="0" w:line="240"/>
            </w:pPr>
            <w:r>
              <w:rPr>
                <w:b/>
                <w:bCs/>
                <w:sz w:val="17"/>
                <w:szCs w:val="17"/>
              </w:rPr>
              <w:t xml:space="preserve">2031 / AED 294m</w:t>
            </w:r>
          </w:p>
        </w:tc>
      </w:tr>
      <w:tr>
        <w:tc>
          <w:tcPr>
            <w:tcW w:type="dxa" w:w="4369"/>
            <w:shd w:fill="FFFFFF" w:val="clear"/>
            <w:tcMar>
              <w:top w:type="dxa" w:w="80"/>
              <w:left w:type="dxa" w:w="100"/>
              <w:bottom w:type="dxa" w:w="80"/>
              <w:right w:type="dxa" w:w="100"/>
            </w:tcMar>
          </w:tcPr>
          <w:p>
            <w:pPr>
              <w:spacing w:after="0" w:line="240"/>
            </w:pPr>
            <w:r>
              <w:rPr>
                <w:sz w:val="17"/>
                <w:szCs w:val="17"/>
              </w:rPr>
              <w:t xml:space="preserve">Deposit float, year 1 (memo - escrowed, never revenue)</w:t>
            </w:r>
          </w:p>
        </w:tc>
        <w:tc>
          <w:tcPr>
            <w:tcW w:type="dxa" w:w="4369"/>
            <w:shd w:fill="FFFFFF" w:val="clear"/>
            <w:tcMar>
              <w:top w:type="dxa" w:w="80"/>
              <w:left w:type="dxa" w:w="100"/>
              <w:bottom w:type="dxa" w:w="80"/>
              <w:right w:type="dxa" w:w="100"/>
            </w:tcMar>
          </w:tcPr>
          <w:p>
            <w:pPr>
              <w:spacing w:after="0" w:line="240"/>
            </w:pPr>
            <w:r>
              <w:rPr>
                <w:sz w:val="17"/>
                <w:szCs w:val="17"/>
              </w:rPr>
              <w:t xml:space="preserve">AED 935m gross</w:t>
            </w:r>
          </w:p>
        </w:tc>
      </w:tr>
      <w:tr>
        <w:tc>
          <w:tcPr>
            <w:tcW w:type="dxa" w:w="4369"/>
            <w:shd w:fill="F5F1E8" w:val="clear"/>
            <w:tcMar>
              <w:top w:type="dxa" w:w="80"/>
              <w:left w:type="dxa" w:w="100"/>
              <w:bottom w:type="dxa" w:w="80"/>
              <w:right w:type="dxa" w:w="100"/>
            </w:tcMar>
          </w:tcPr>
          <w:p>
            <w:pPr>
              <w:spacing w:after="0" w:line="240"/>
            </w:pPr>
            <w:r>
              <w:rPr>
                <w:sz w:val="17"/>
                <w:szCs w:val="17"/>
              </w:rPr>
              <w:t xml:space="preserve">Employment</w:t>
            </w:r>
          </w:p>
        </w:tc>
        <w:tc>
          <w:tcPr>
            <w:tcW w:type="dxa" w:w="4369"/>
            <w:shd w:fill="F5F1E8" w:val="clear"/>
            <w:tcMar>
              <w:top w:type="dxa" w:w="80"/>
              <w:left w:type="dxa" w:w="100"/>
              <w:bottom w:type="dxa" w:w="80"/>
              <w:right w:type="dxa" w:w="100"/>
            </w:tcMar>
          </w:tcPr>
          <w:p>
            <w:pPr>
              <w:spacing w:after="0" w:line="240"/>
            </w:pPr>
            <w:r>
              <w:rPr>
                <w:sz w:val="17"/>
                <w:szCs w:val="17"/>
              </w:rPr>
              <w:t xml:space="preserve">~</w:t>
            </w:r>
            <w:r>
              <w:rPr>
                <w:b/>
                <w:bCs/>
                <w:sz w:val="17"/>
                <w:szCs w:val="17"/>
              </w:rPr>
              <w:t xml:space="preserve">1,200-1,500 jobs</w:t>
            </w:r>
          </w:p>
        </w:tc>
      </w:tr>
      <w:tr>
        <w:tc>
          <w:tcPr>
            <w:tcW w:type="dxa" w:w="4369"/>
            <w:shd w:fill="FFFFFF" w:val="clear"/>
            <w:tcMar>
              <w:top w:type="dxa" w:w="80"/>
              <w:left w:type="dxa" w:w="100"/>
              <w:bottom w:type="dxa" w:w="80"/>
              <w:right w:type="dxa" w:w="100"/>
            </w:tcMar>
          </w:tcPr>
          <w:p>
            <w:pPr>
              <w:spacing w:after="0" w:line="240"/>
            </w:pPr>
            <w:r>
              <w:rPr>
                <w:sz w:val="17"/>
                <w:szCs w:val="17"/>
              </w:rPr>
              <w:t xml:space="preserve">Segen commitment / Segen-level IRR</w:t>
            </w:r>
          </w:p>
        </w:tc>
        <w:tc>
          <w:tcPr>
            <w:tcW w:type="dxa" w:w="4369"/>
            <w:shd w:fill="FFFFFF" w:val="clear"/>
            <w:tcMar>
              <w:top w:type="dxa" w:w="80"/>
              <w:left w:type="dxa" w:w="100"/>
              <w:bottom w:type="dxa" w:w="80"/>
              <w:right w:type="dxa" w:w="100"/>
            </w:tcMar>
          </w:tcPr>
          <w:p>
            <w:pPr>
              <w:spacing w:after="0" w:line="240"/>
            </w:pPr>
            <w:r>
              <w:rPr>
                <w:sz w:val="17"/>
                <w:szCs w:val="17"/>
              </w:rPr>
              <w:t xml:space="preserve">AED 150m / ~50% (asset-light management model)</w:t>
            </w:r>
          </w:p>
        </w:tc>
      </w:tr>
    </w:tbl>
    <w:p>
      <w:pPr>
        <w:spacing w:after="200"/>
      </w:pPr>
      <w:r>
        <w:rPr>
          <w:sz w:val="8"/>
          <w:szCs w:val="8"/>
        </w:rPr>
        <w:t xml:space="preserve"/>
      </w:r>
    </w:p>
    <w:p>
      <w:pPr>
        <w:spacing w:after="160" w:line="300"/>
        <w:jc w:val="both"/>
      </w:pPr>
      <w:r>
        <w:t xml:space="preserve">All financial figures per the study's financial model (R7 assumptions memo, 2026). The 27.7% IRR is front-loaded by ramp-up surpluses - producer fees are charged on 100% of containers placed on market while costs are incurred only on returned units - and converges to a steady-state EBITDA margin of ~9-10%, consistent with audited European systems.</w:t>
      </w:r>
    </w:p>
    <w:p>
      <w:pPr>
        <w:pStyle w:val="Heading2"/>
        <w:keepNext/>
        <w:spacing w:after="140" w:before="340"/>
      </w:pPr>
      <w:r>
        <w:rPr>
          <w:rFonts w:ascii="Georgia" w:cs="Georgia" w:eastAsia="Georgia" w:hAnsi="Georgia"/>
          <w:b/>
          <w:bCs/>
          <w:color w:val="1B2A4A"/>
          <w:sz w:val="30"/>
          <w:szCs w:val="30"/>
        </w:rPr>
        <w:t xml:space="preserve">1.4 The ask from government</w:t>
      </w:r>
    </w:p>
    <w:p>
      <w:pPr>
        <w:spacing w:after="160" w:line="300"/>
        <w:jc w:val="both"/>
      </w:pPr>
      <w:r>
        <w:t xml:space="preserve">This study respectfully requests that the Ministry of Economy &amp; Tourism and the Ministry of Climate Change &amp; Environment:</w:t>
      </w:r>
    </w:p>
    <w:p>
      <w:pPr>
        <w:spacing w:after="90" w:line="290"/>
        <w:ind w:left="380" w:hanging="180"/>
      </w:pPr>
      <w:r>
        <w:rPr>
          <w:b/>
          <w:bCs/>
          <w:color w:val="1B2A4A"/>
        </w:rPr>
        <w:t xml:space="preserve">1. </w:t>
      </w:r>
      <w:r>
        <w:rPr>
          <w:b/>
          <w:bCs/>
        </w:rPr>
        <w:t xml:space="preserve">Adopt the DRS as the beverage-container instrument of the national Extended Producer Responsibility (EPR) framework</w:t>
      </w:r>
      <w:r>
        <w:t xml:space="preserve">, building directly on the 2025 MOCCAE×Tadweer EPR pilot;</w:t>
      </w:r>
    </w:p>
    <w:p>
      <w:pPr>
        <w:spacing w:after="90" w:line="290"/>
        <w:ind w:left="380" w:hanging="180"/>
      </w:pPr>
      <w:r>
        <w:rPr>
          <w:b/>
          <w:bCs/>
          <w:color w:val="1B2A4A"/>
        </w:rPr>
        <w:t xml:space="preserve">2. </w:t>
      </w:r>
      <w:r>
        <w:rPr>
          <w:b/>
          <w:bCs/>
        </w:rPr>
        <w:t xml:space="preserve">Sponsor enabling legislation</w:t>
      </w:r>
      <w:r>
        <w:t xml:space="preserve"> establishing the deposit, the system operator mandate, and the escrow regime for unredeemed deposits - international experience indicates </w:t>
      </w:r>
      <w:r>
        <w:rPr>
          <w:b/>
          <w:bCs/>
        </w:rPr>
        <w:t xml:space="preserve">18-24 months from political decision to go-live</w:t>
      </w:r>
      <w:r>
        <w:t xml:space="preserve"> (Earth Care Consulting, 2025);</w:t>
      </w:r>
    </w:p>
    <w:p>
      <w:pPr>
        <w:spacing w:after="90" w:line="290"/>
        <w:ind w:left="380" w:hanging="180"/>
      </w:pPr>
      <w:r>
        <w:rPr>
          <w:b/>
          <w:bCs/>
          <w:color w:val="1B2A4A"/>
        </w:rPr>
        <w:t xml:space="preserve">3. </w:t>
      </w:r>
      <w:r>
        <w:rPr>
          <w:b/>
          <w:bCs/>
        </w:rPr>
        <w:t xml:space="preserve">Convene producers, importers and retailers</w:t>
      </w:r>
      <w:r>
        <w:t xml:space="preserve"> into a design working group under the Circular Economy Council, so the final deposit level, fee schedule and return-network obligations are set with - not for - industry;</w:t>
      </w:r>
    </w:p>
    <w:p>
      <w:pPr>
        <w:spacing w:after="90" w:line="290"/>
        <w:ind w:left="380" w:hanging="180"/>
      </w:pPr>
      <w:r>
        <w:rPr>
          <w:b/>
          <w:bCs/>
          <w:color w:val="1B2A4A"/>
        </w:rPr>
        <w:t xml:space="preserve">4. </w:t>
      </w:r>
      <w:r>
        <w:rPr>
          <w:b/>
          <w:bCs/>
        </w:rPr>
        <w:t xml:space="preserve">Commission validation of container volumes</w:t>
      </w:r>
      <w:r>
        <w:t xml:space="preserve"> through producer/importer SKU-level reporting, converting this study's modelled estimates into a verified statutory baseline.</w:t>
      </w:r>
    </w:p>
    <w:p>
      <w:pPr>
        <w:spacing w:after="160" w:line="300"/>
        <w:jc w:val="both"/>
      </w:pPr>
      <w:r>
        <w:t xml:space="preserve">The window is now. The 2026 plastics ban has cleared the field; the EPR pilot has built the regulatory machinery; consumer behaviour is proven. A national DRS is the logical - and financially self-sustaining - next act of the UAE's circular-economy agenda.</w:t>
      </w:r>
    </w:p>
    <w:p>
      <w:pPr>
        <w:pBdr>
          <w:left w:val="single" w:color="C9A227" w:sz="18"/>
        </w:pBdr>
        <w:shd w:fill="F5F1E8" w:val="clear"/>
        <w:spacing w:after="100" w:before="60" w:line="280"/>
        <w:ind w:left="260" w:right="260"/>
      </w:pPr>
      <w:r>
        <w:rPr>
          <w:b/>
          <w:bCs/>
          <w:color w:val="1B2A4A"/>
          <w:sz w:val="20"/>
          <w:szCs w:val="20"/>
        </w:rPr>
        <w:t xml:space="preserve">"Deposit funds move between producers, importers, retailers, consumers, and the system administrator and are not treated as operating revenue for the project operator."</w:t>
      </w:r>
      <w:r>
        <w:rPr>
          <w:color w:val="1B2A4A"/>
          <w:sz w:val="20"/>
          <w:szCs w:val="20"/>
        </w:rPr>
        <w:t xml:space="preserve"> - Project Description, Segen commitment to the UAE Government</w:t>
      </w:r>
    </w:p>
    <w:p>
      <w:pPr>
        <w:spacing w:after="120"/>
      </w:pPr>
      <w:r>
        <w:rPr>
          <w:sz w:val="8"/>
          <w:szCs w:val="8"/>
        </w:rPr>
        <w:t xml:space="preserve"/>
      </w:r>
    </w:p>
    <w:p>
      <w:pPr>
        <w:pageBreakBefore/>
        <w:spacing w:after="80" w:before="0"/>
      </w:pPr>
      <w:r>
        <w:rPr>
          <w:rFonts w:ascii="Georgia" w:cs="Georgia" w:eastAsia="Georgia" w:hAnsi="Georgia"/>
          <w:b/>
          <w:bCs/>
          <w:color w:val="C9A227"/>
          <w:spacing w:val="40"/>
          <w:sz w:val="20"/>
          <w:szCs w:val="20"/>
        </w:rPr>
        <w:t xml:space="preserve">CHAPTER 2</w:t>
      </w:r>
    </w:p>
    <w:p>
      <w:pPr>
        <w:pStyle w:val="Heading1"/>
        <w:pBdr>
          <w:bottom w:val="single" w:color="C9A227" w:sz="10" w:space="4"/>
        </w:pBdr>
        <w:spacing w:after="280"/>
      </w:pPr>
      <w:r>
        <w:rPr>
          <w:rFonts w:ascii="Georgia" w:cs="Georgia" w:eastAsia="Georgia" w:hAnsi="Georgia"/>
          <w:b/>
          <w:bCs/>
          <w:color w:val="1B2A4A"/>
          <w:sz w:val="44"/>
          <w:szCs w:val="44"/>
        </w:rPr>
        <w:t xml:space="preserve">Introduction &amp; Project Overview</w:t>
      </w:r>
    </w:p>
    <w:p>
      <w:pPr>
        <w:pStyle w:val="Heading2"/>
        <w:keepNext/>
        <w:spacing w:after="140" w:before="340"/>
      </w:pPr>
      <w:r>
        <w:rPr>
          <w:rFonts w:ascii="Georgia" w:cs="Georgia" w:eastAsia="Georgia" w:hAnsi="Georgia"/>
          <w:b/>
          <w:bCs/>
          <w:color w:val="1B2A4A"/>
          <w:sz w:val="30"/>
          <w:szCs w:val="30"/>
        </w:rPr>
        <w:t xml:space="preserve">2.1 Project description</w:t>
      </w:r>
    </w:p>
    <w:p>
      <w:pPr>
        <w:spacing w:after="160" w:line="300"/>
        <w:jc w:val="both"/>
      </w:pPr>
      <w:r>
        <w:t xml:space="preserve">The </w:t>
      </w:r>
      <w:r>
        <w:rPr>
          <w:b/>
          <w:bCs/>
        </w:rPr>
        <w:t xml:space="preserve">UAE Beverage Container Deposit Return and Recycling System (DRS)</w:t>
      </w:r>
      <w:r>
        <w:t xml:space="preserve"> is a national public-private initiative under which Segen will develop and operate an integrated system for the collection, return and recycling of used beverage containers across all seven emirates, under the sponsorship and supervision of the relevant government authorities (Project Description, 2026).</w:t>
      </w:r>
    </w:p>
    <w:p>
      <w:pPr>
        <w:spacing w:after="160" w:line="300"/>
        <w:jc w:val="both"/>
      </w:pPr>
      <w:r>
        <w:t xml:space="preserve">The mechanism is proven and transparent:</w:t>
      </w:r>
    </w:p>
    <w:p>
      <w:pPr>
        <w:spacing w:after="90" w:line="290"/>
        <w:ind w:left="380" w:hanging="180"/>
      </w:pPr>
      <w:r>
        <w:rPr>
          <w:b/>
          <w:bCs/>
          <w:color w:val="1B2A4A"/>
        </w:rPr>
        <w:t xml:space="preserve">1. </w:t>
      </w:r>
      <w:r>
        <w:rPr>
          <w:b/>
          <w:bCs/>
        </w:rPr>
        <w:t xml:space="preserve">Deposit applied.</w:t>
      </w:r>
      <w:r>
        <w:t xml:space="preserve"> A small refundable deposit is added to the price of an in-scope beverage container at the point of purchase.</w:t>
      </w:r>
    </w:p>
    <w:p>
      <w:pPr>
        <w:spacing w:after="90" w:line="290"/>
        <w:ind w:left="380" w:hanging="180"/>
      </w:pPr>
      <w:r>
        <w:rPr>
          <w:b/>
          <w:bCs/>
          <w:color w:val="1B2A4A"/>
        </w:rPr>
        <w:t xml:space="preserve">2. </w:t>
      </w:r>
      <w:r>
        <w:rPr>
          <w:b/>
          <w:bCs/>
        </w:rPr>
        <w:t xml:space="preserve">Refund on return.</w:t>
      </w:r>
      <w:r>
        <w:t xml:space="preserve"> Consumers receive the full deposit back when they return the empty container through any approved collection point or Reverse Vending Machine.</w:t>
      </w:r>
    </w:p>
    <w:p>
      <w:pPr>
        <w:spacing w:after="90" w:line="290"/>
        <w:ind w:left="380" w:hanging="180"/>
      </w:pPr>
      <w:r>
        <w:rPr>
          <w:b/>
          <w:bCs/>
          <w:color w:val="1B2A4A"/>
        </w:rPr>
        <w:t xml:space="preserve">3. </w:t>
      </w:r>
      <w:r>
        <w:rPr>
          <w:b/>
          <w:bCs/>
        </w:rPr>
        <w:t xml:space="preserve">Back-end recovery.</w:t>
      </w:r>
      <w:r>
        <w:t xml:space="preserve"> Returned containers are transported to counting, sorting and processing facilities and sold as clean, high-grade recyclate - bottle-to-bottle PET, can-to-can aluminium.</w:t>
      </w:r>
    </w:p>
    <w:p>
      <w:pPr>
        <w:spacing w:after="90" w:line="290"/>
        <w:ind w:left="380" w:hanging="180"/>
      </w:pPr>
      <w:r>
        <w:rPr>
          <w:b/>
          <w:bCs/>
          <w:color w:val="1B2A4A"/>
        </w:rPr>
        <w:t xml:space="preserve">4. </w:t>
      </w:r>
      <w:r>
        <w:rPr>
          <w:b/>
          <w:bCs/>
        </w:rPr>
        <w:t xml:space="preserve">Money follows the container.</w:t>
      </w:r>
      <w:r>
        <w:t xml:space="preserve"> Deposit funds move between producers, importers, retailers, consumers and the system administrator as pass-through liabilities. They are </w:t>
      </w:r>
      <w:r>
        <w:rPr>
          <w:b/>
          <w:bCs/>
        </w:rPr>
        <w:t xml:space="preserve">not</w:t>
      </w:r>
      <w:r>
        <w:t xml:space="preserve"> operating revenue for the operator.</w:t>
      </w:r>
    </w:p>
    <w:p>
      <w:pPr>
        <w:spacing w:after="160" w:line="300"/>
        <w:jc w:val="both"/>
      </w:pPr>
      <w:r>
        <w:t xml:space="preserve">Physical infrastructure comprises RVMs and collection points in shopping centres, supermarkets, retail outlets, petrol stations and public locations, supported by a central technology platform that registers eligible containers, tracks returns, manages deposit transactions and reports quantities collected and recycled to the supervising authorities.</w:t>
      </w:r>
    </w:p>
    <w:p>
      <w:pPr>
        <w:pStyle w:val="Heading2"/>
        <w:keepNext/>
        <w:spacing w:after="140" w:before="340"/>
      </w:pPr>
      <w:r>
        <w:rPr>
          <w:rFonts w:ascii="Georgia" w:cs="Georgia" w:eastAsia="Georgia" w:hAnsi="Georgia"/>
          <w:b/>
          <w:bCs/>
          <w:color w:val="1B2A4A"/>
          <w:sz w:val="30"/>
          <w:szCs w:val="30"/>
        </w:rPr>
        <w:t xml:space="preserve">2.2 Sponsors and delivery partners</w:t>
      </w:r>
    </w:p>
    <w:p>
      <w:pPr>
        <w:spacing w:after="160" w:line="300"/>
        <w:jc w:val="both"/>
      </w:pPr>
      <w:r>
        <w:rPr>
          <w:b/>
          <w:bCs/>
        </w:rPr>
        <w:t xml:space="preserve">Government sponsors.</w:t>
      </w:r>
      <w:r>
        <w:t xml:space="preserve"> The study is addressed jointly to the </w:t>
      </w:r>
      <w:r>
        <w:rPr>
          <w:b/>
          <w:bCs/>
        </w:rPr>
        <w:t xml:space="preserve">Ministry of Economy &amp; Tourism</w:t>
      </w:r>
      <w:r>
        <w:t xml:space="preserve"> and the </w:t>
      </w:r>
      <w:r>
        <w:rPr>
          <w:b/>
          <w:bCs/>
        </w:rPr>
        <w:t xml:space="preserve">Ministry of Climate Change &amp; Environment (MOCCAE)</w:t>
      </w:r>
      <w:r>
        <w:t xml:space="preserve">. This dual sponsorship mirrors the UAE's own institutional architecture: MOCCAE owns federal environment and waste policy, single-use plastics regulation and the EPR programme, while the Ministry of Economy &amp; Tourism chairs the UAE Circular Economy Council and co-authored the Circular Economy Policy 2021-2031 (MOCCAE, 2021; Ministry of Economy, 2024). A national DRS sits precisely at their intersection.</w:t>
      </w:r>
    </w:p>
    <w:p>
      <w:pPr>
        <w:spacing w:after="160" w:line="300"/>
        <w:jc w:val="both"/>
      </w:pPr>
      <w:r>
        <w:rPr>
          <w:b/>
          <w:bCs/>
        </w:rPr>
        <w:t xml:space="preserve">Segen</w:t>
      </w:r>
      <w:r>
        <w:t xml:space="preserve"> (Dubai, est. 2023) is the local architect, operator and public-private counterparty - applying its alliance-architecture and principal-representation model to environmental infrastructure. Segen would develop the operational and technology infrastructure, operate the collection network and manage recycling activities in cooperation with beverage producers, importers, retailers, waste-management companies and recycling facilities.</w:t>
      </w:r>
    </w:p>
    <w:p>
      <w:pPr>
        <w:spacing w:after="160" w:line="300"/>
        <w:jc w:val="both"/>
      </w:pPr>
      <w:r>
        <w:rPr>
          <w:b/>
          <w:bCs/>
        </w:rPr>
        <w:t xml:space="preserve">Earth Care Consulting</w:t>
      </w:r>
      <w:r>
        <w:t xml:space="preserve"> is the technical design partner: a DRS-specialised consultancy active since 2013 across more than 15 countries, with implementation references including Lithuania (first planning through launch and after-go-live), Slovakia (implementation partner to the Deposit System Operator, DSO), Austria (implementation plus after-go-live support, 2023-2025), Portugal, and an ongoing expert mandate to the UK Government (DEFRA) on DRS implementation (Earth Care Consulting, 2025).</w:t>
      </w:r>
    </w:p>
    <w:p>
      <w:pPr>
        <w:pStyle w:val="Heading2"/>
        <w:keepNext/>
        <w:spacing w:after="140" w:before="340"/>
      </w:pPr>
      <w:r>
        <w:rPr>
          <w:rFonts w:ascii="Georgia" w:cs="Georgia" w:eastAsia="Georgia" w:hAnsi="Georgia"/>
          <w:b/>
          <w:bCs/>
          <w:color w:val="1B2A4A"/>
          <w:sz w:val="30"/>
          <w:szCs w:val="30"/>
        </w:rPr>
        <w:t xml:space="preserve">2.3 Scope</w:t>
      </w:r>
    </w:p>
    <w:p>
      <w:pPr>
        <w:spacing w:after="90" w:line="290"/>
        <w:ind w:left="380" w:hanging="180"/>
      </w:pPr>
      <w:r>
        <w:rPr>
          <w:b/>
          <w:bCs/>
          <w:color w:val="C9A227"/>
        </w:rPr>
        <w:t xml:space="preserve">• </w:t>
      </w:r>
      <w:r>
        <w:rPr>
          <w:b/>
          <w:bCs/>
        </w:rPr>
        <w:t xml:space="preserve">Materials:</w:t>
      </w:r>
      <w:r>
        <w:t xml:space="preserve"> PET plastic, metal (aluminium and other beverage cans) and glass beverage containers - using automated and manual collection methods depending on the location and size of the retail outlet.</w:t>
      </w:r>
    </w:p>
    <w:p>
      <w:pPr>
        <w:spacing w:after="90" w:line="290"/>
        <w:ind w:left="380" w:hanging="180"/>
      </w:pPr>
      <w:r>
        <w:rPr>
          <w:b/>
          <w:bCs/>
          <w:color w:val="C9A227"/>
        </w:rPr>
        <w:t xml:space="preserve">• </w:t>
      </w:r>
      <w:r>
        <w:rPr>
          <w:b/>
          <w:bCs/>
        </w:rPr>
        <w:t xml:space="preserve">Geography:</w:t>
      </w:r>
      <w:r>
        <w:t xml:space="preserve"> national, all seven emirates, from launch.</w:t>
      </w:r>
    </w:p>
    <w:p>
      <w:pPr>
        <w:spacing w:after="90" w:line="290"/>
        <w:ind w:left="380" w:hanging="180"/>
      </w:pPr>
      <w:r>
        <w:rPr>
          <w:b/>
          <w:bCs/>
          <w:color w:val="C9A227"/>
        </w:rPr>
        <w:t xml:space="preserve">• </w:t>
      </w:r>
      <w:r>
        <w:rPr>
          <w:b/>
          <w:bCs/>
        </w:rPr>
        <w:t xml:space="preserve">Language:</w:t>
      </w:r>
      <w:r>
        <w:t xml:space="preserve"> English (consumer-facing materials to follow government language policy).</w:t>
      </w:r>
    </w:p>
    <w:p>
      <w:pPr>
        <w:spacing w:after="160" w:line="300"/>
        <w:jc w:val="both"/>
      </w:pPr>
      <w:r>
        <w:rPr>
          <w:i/>
          <w:iCs/>
        </w:rPr>
        <w:t xml:space="preserve">Note on glass:</w:t>
      </w:r>
      <w:r>
        <w:t xml:space="preserve"> glass is in scope by design - the Tadweer Group×TOMRA memorandum for a nationwide bottle-return programme likewise covers PET, cans and glass (WAM, 2024) - but UAE glass-container market volumes are not publicly reported. The financial model's glass estimate (~0.18bn units/yr, ~5% of PET+can volume) is an analyst assumption. </w:t>
      </w:r>
      <w:r>
        <w:rPr>
          <w:b/>
          <w:bCs/>
        </w:rPr>
        <w:t xml:space="preserve">[DATA GAP: no verified UAE glass-container market data; requires producer/importer validation.]</w:t>
      </w:r>
    </w:p>
    <w:p>
      <w:pPr>
        <w:pStyle w:val="Heading2"/>
        <w:keepNext/>
        <w:spacing w:after="140" w:before="340"/>
      </w:pPr>
      <w:r>
        <w:rPr>
          <w:rFonts w:ascii="Georgia" w:cs="Georgia" w:eastAsia="Georgia" w:hAnsi="Georgia"/>
          <w:b/>
          <w:bCs/>
          <w:color w:val="1B2A4A"/>
          <w:sz w:val="30"/>
          <w:szCs w:val="30"/>
        </w:rPr>
        <w:t xml:space="preserve">2.4 Guiding principles</w:t>
      </w:r>
    </w:p>
    <w:p>
      <w:pPr>
        <w:spacing w:after="160" w:line="300"/>
        <w:jc w:val="both"/>
      </w:pPr>
      <w:r>
        <w:t xml:space="preserve">Five principles govern the design, drawn from international best practice (producer-controlled, non-profit, single centralised operator) and from Segen's own commitments:</w:t>
      </w:r>
    </w:p>
    <w:p>
      <w:pPr>
        <w:spacing w:after="90" w:line="290"/>
        <w:ind w:left="380" w:hanging="180"/>
      </w:pPr>
      <w:r>
        <w:rPr>
          <w:b/>
          <w:bCs/>
          <w:color w:val="1B2A4A"/>
        </w:rPr>
        <w:t xml:space="preserve">1. </w:t>
      </w:r>
      <w:r>
        <w:rPr>
          <w:b/>
          <w:bCs/>
        </w:rPr>
        <w:t xml:space="preserve">Full-refund deposit, never a tax.</w:t>
      </w:r>
      <w:r>
        <w:t xml:space="preserve"> The deposit is a returnable incentive; every returned container refunds 100% of its deposit.</w:t>
      </w:r>
    </w:p>
    <w:p>
      <w:pPr>
        <w:spacing w:after="90" w:line="290"/>
        <w:ind w:left="380" w:hanging="180"/>
      </w:pPr>
      <w:r>
        <w:rPr>
          <w:b/>
          <w:bCs/>
          <w:color w:val="1B2A4A"/>
        </w:rPr>
        <w:t xml:space="preserve">2. </w:t>
      </w:r>
      <w:r>
        <w:rPr>
          <w:b/>
          <w:bCs/>
        </w:rPr>
        <w:t xml:space="preserve">Zero operator income from unredeemed deposits - stated precisely.</w:t>
      </w:r>
      <w:r>
        <w:t xml:space="preserve"> Deposits attached to containers that are never returned remain in a </w:t>
      </w:r>
      <w:r>
        <w:rPr>
          <w:b/>
          <w:bCs/>
        </w:rPr>
        <w:t xml:space="preserve">transparent, supervised escrow reserve</w:t>
      </w:r>
      <w:r>
        <w:t xml:space="preserve"> within the system (the Slovakian "transparent account" and Portuguese state-fund models are the governance precedents). </w:t>
      </w:r>
      <w:r>
        <w:rPr>
          <w:b/>
          <w:bCs/>
        </w:rPr>
        <w:t xml:space="preserve">Segen takes no income, profit or financing benefit from these balances.</w:t>
      </w:r>
      <w:r>
        <w:t xml:space="preserve"> Its commercial benefit derives exclusively from (a) managing the collection, sorting, processing and recycling operations and (b) the value of the recyclable materials recovered. This reconciles explicitly with the international design in which unredeemed deposits make a DRS "largely self-financing": in the UAE design, that self-financing role is </w:t>
      </w:r>
      <w:r>
        <w:rPr>
          <w:b/>
          <w:bCs/>
        </w:rPr>
        <w:t xml:space="preserve">replaced by producer fees calibrated for steady-state cost recovery</w:t>
      </w:r>
      <w:r>
        <w:t xml:space="preserve"> - which is why the recommended UAE producer fees sit toward the top of the European range.</w:t>
      </w:r>
    </w:p>
    <w:p>
      <w:pPr>
        <w:spacing w:after="90" w:line="290"/>
        <w:ind w:left="380" w:hanging="180"/>
      </w:pPr>
      <w:r>
        <w:rPr>
          <w:b/>
          <w:bCs/>
          <w:color w:val="1B2A4A"/>
        </w:rPr>
        <w:t xml:space="preserve">3. </w:t>
      </w:r>
      <w:r>
        <w:rPr>
          <w:b/>
          <w:bCs/>
        </w:rPr>
        <w:t xml:space="preserve">Producer-funded, non-profit system.</w:t>
      </w:r>
      <w:r>
        <w:t xml:space="preserve"> Producers and importers fund the system through per-container fees; any structural surplus is returned to producers or reinvested through the annual fee-review mechanism, never distributed as operator profit beyond the contracted management model.</w:t>
      </w:r>
    </w:p>
    <w:p>
      <w:pPr>
        <w:spacing w:after="90" w:line="290"/>
        <w:ind w:left="380" w:hanging="180"/>
      </w:pPr>
      <w:r>
        <w:rPr>
          <w:b/>
          <w:bCs/>
          <w:color w:val="1B2A4A"/>
        </w:rPr>
        <w:t xml:space="preserve">4. </w:t>
      </w:r>
      <w:r>
        <w:rPr>
          <w:b/>
          <w:bCs/>
        </w:rPr>
        <w:t xml:space="preserve">Single national operator, one data standard.</w:t>
      </w:r>
      <w:r>
        <w:t xml:space="preserve"> One central platform registers every eligible container and transaction, giving government real-time, audit-grade visibility of collection and recycling.</w:t>
      </w:r>
    </w:p>
    <w:p>
      <w:pPr>
        <w:spacing w:after="90" w:line="290"/>
        <w:ind w:left="380" w:hanging="180"/>
      </w:pPr>
      <w:r>
        <w:rPr>
          <w:b/>
          <w:bCs/>
          <w:color w:val="1B2A4A"/>
        </w:rPr>
        <w:t xml:space="preserve">5. </w:t>
      </w:r>
      <w:r>
        <w:rPr>
          <w:b/>
          <w:bCs/>
        </w:rPr>
        <w:t xml:space="preserve">Return-to-retail convenience.</w:t>
      </w:r>
      <w:r>
        <w:t xml:space="preserve"> Return points where people already shop - with a target density of roughly one point per 1,250 residents, matching the density band of Europe's best-performing systems.</w:t>
      </w:r>
    </w:p>
    <w:p>
      <w:pPr>
        <w:spacing w:after="40" w:before="200"/>
        <w:jc w:val="center"/>
      </w:pPr>
      <w:r>
        <w:drawing>
          <wp:inline distT="0" distB="0" distL="0" distR="0">
            <wp:extent cx="5524500" cy="3190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524500" cy="3190875"/>
                    </a:xfrm>
                    <a:prstGeom prst="rect">
                      <a:avLst/>
                    </a:prstGeom>
                  </pic:spPr>
                </pic:pic>
              </a:graphicData>
            </a:graphic>
          </wp:inline>
        </w:drawing>
      </w:r>
    </w:p>
    <w:p>
      <w:pPr>
        <w:spacing w:after="240" w:before="40"/>
        <w:jc w:val="center"/>
      </w:pPr>
      <w:r>
        <w:rPr>
          <w:rFonts w:ascii="Calibri" w:cs="Calibri" w:eastAsia="Calibri" w:hAnsi="Calibri"/>
          <w:i/>
          <w:iCs/>
          <w:color w:val="4A6580"/>
          <w:sz w:val="17"/>
          <w:szCs w:val="17"/>
        </w:rPr>
        <w:t xml:space="preserve">Money and material flow - deposits circulate as pass-through liabilities; unredeemed balances sit in a ring-fenced escrow reserve, never operator revenue.</w:t>
      </w:r>
    </w:p>
    <w:p>
      <w:pPr>
        <w:pageBreakBefore/>
        <w:spacing w:after="80" w:before="0"/>
      </w:pPr>
      <w:r>
        <w:rPr>
          <w:rFonts w:ascii="Georgia" w:cs="Georgia" w:eastAsia="Georgia" w:hAnsi="Georgia"/>
          <w:b/>
          <w:bCs/>
          <w:color w:val="C9A227"/>
          <w:spacing w:val="40"/>
          <w:sz w:val="20"/>
          <w:szCs w:val="20"/>
        </w:rPr>
        <w:t xml:space="preserve">CHAPTER 3</w:t>
      </w:r>
    </w:p>
    <w:p>
      <w:pPr>
        <w:pStyle w:val="Heading1"/>
        <w:pBdr>
          <w:bottom w:val="single" w:color="C9A227" w:sz="10" w:space="4"/>
        </w:pBdr>
        <w:spacing w:after="280"/>
      </w:pPr>
      <w:r>
        <w:rPr>
          <w:rFonts w:ascii="Georgia" w:cs="Georgia" w:eastAsia="Georgia" w:hAnsi="Georgia"/>
          <w:b/>
          <w:bCs/>
          <w:color w:val="1B2A4A"/>
          <w:sz w:val="44"/>
          <w:szCs w:val="44"/>
        </w:rPr>
        <w:t xml:space="preserve">Strategic Alignment with the UAE National Agenda</w:t>
      </w:r>
    </w:p>
    <w:p>
      <w:pPr>
        <w:spacing w:after="160" w:line="300"/>
        <w:jc w:val="both"/>
      </w:pPr>
      <w:r>
        <w:t xml:space="preserve">A national DRS is not a new policy direction for the UAE - it is the missing operational instrument inside policies the UAE has already adopted. Each pillar of the national agenda below gains a concrete delivery mechanism from this project.</w:t>
      </w:r>
    </w:p>
    <w:p>
      <w:pPr>
        <w:pStyle w:val="Heading2"/>
        <w:keepNext/>
        <w:spacing w:after="140" w:before="340"/>
      </w:pPr>
      <w:r>
        <w:rPr>
          <w:rFonts w:ascii="Georgia" w:cs="Georgia" w:eastAsia="Georgia" w:hAnsi="Georgia"/>
          <w:b/>
          <w:bCs/>
          <w:color w:val="1B2A4A"/>
          <w:sz w:val="30"/>
          <w:szCs w:val="30"/>
        </w:rPr>
        <w:t xml:space="preserve">3.1 Alignment map</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2912"/>
        <w:gridCol w:w="2912"/>
        <w:gridCol w:w="2914"/>
      </w:tblGrid>
      <w:tr>
        <w:trPr>
          <w:tblHeader/>
        </w:trPr>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National instrument</w:t>
            </w:r>
          </w:p>
        </w:tc>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Commitment</w:t>
            </w:r>
          </w:p>
        </w:tc>
        <w:tc>
          <w:tcPr>
            <w:tcW w:type="dxa" w:w="291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What the DRS delivers</w:t>
            </w:r>
          </w:p>
        </w:tc>
      </w:tr>
      <w:tr>
        <w:tc>
          <w:tcPr>
            <w:tcW w:type="dxa" w:w="2912"/>
            <w:shd w:fill="FFFFFF" w:val="clear"/>
            <w:tcMar>
              <w:top w:type="dxa" w:w="80"/>
              <w:left w:type="dxa" w:w="100"/>
              <w:bottom w:type="dxa" w:w="80"/>
              <w:right w:type="dxa" w:w="100"/>
            </w:tcMar>
          </w:tcPr>
          <w:p>
            <w:pPr>
              <w:spacing w:after="0" w:line="240"/>
            </w:pPr>
            <w:r>
              <w:rPr>
                <w:b/>
                <w:bCs/>
                <w:sz w:val="17"/>
                <w:szCs w:val="17"/>
              </w:rPr>
              <w:t xml:space="preserve">UAE Circular Economy Policy 2021-2031</w:t>
            </w:r>
            <w:r>
              <w:rPr>
                <w:sz w:val="17"/>
                <w:szCs w:val="17"/>
              </w:rPr>
              <w:t xml:space="preserve"> (Cabinet-approved 26 Jan 2021)</w:t>
            </w:r>
          </w:p>
        </w:tc>
        <w:tc>
          <w:tcPr>
            <w:tcW w:type="dxa" w:w="2912"/>
            <w:shd w:fill="FFFFFF" w:val="clear"/>
            <w:tcMar>
              <w:top w:type="dxa" w:w="80"/>
              <w:left w:type="dxa" w:w="100"/>
              <w:bottom w:type="dxa" w:w="80"/>
              <w:right w:type="dxa" w:w="100"/>
            </w:tcMar>
          </w:tcPr>
          <w:p>
            <w:pPr>
              <w:spacing w:after="0" w:line="240"/>
            </w:pPr>
            <w:r>
              <w:rPr>
                <w:sz w:val="17"/>
                <w:szCs w:val="17"/>
              </w:rPr>
              <w:t xml:space="preserve">Circular approaches across four priority areas incl. sustainable manufacturing and food production &amp; consumption (MOCCAE, 2021)</w:t>
            </w:r>
          </w:p>
        </w:tc>
        <w:tc>
          <w:tcPr>
            <w:tcW w:type="dxa" w:w="2914"/>
            <w:shd w:fill="FFFFFF" w:val="clear"/>
            <w:tcMar>
              <w:top w:type="dxa" w:w="80"/>
              <w:left w:type="dxa" w:w="100"/>
              <w:bottom w:type="dxa" w:w="80"/>
              <w:right w:type="dxa" w:w="100"/>
            </w:tcMar>
          </w:tcPr>
          <w:p>
            <w:pPr>
              <w:spacing w:after="0" w:line="240"/>
            </w:pPr>
            <w:r>
              <w:rPr>
                <w:sz w:val="17"/>
                <w:szCs w:val="17"/>
              </w:rPr>
              <w:t xml:space="preserve">A functioning national circular loop for beverage packaging - clean, food-grade recyclate returned to domestic manufacturing</w:t>
            </w:r>
          </w:p>
        </w:tc>
      </w:tr>
      <w:tr>
        <w:tc>
          <w:tcPr>
            <w:tcW w:type="dxa" w:w="2912"/>
            <w:shd w:fill="F5F1E8" w:val="clear"/>
            <w:tcMar>
              <w:top w:type="dxa" w:w="80"/>
              <w:left w:type="dxa" w:w="100"/>
              <w:bottom w:type="dxa" w:w="80"/>
              <w:right w:type="dxa" w:w="100"/>
            </w:tcMar>
          </w:tcPr>
          <w:p>
            <w:pPr>
              <w:spacing w:after="0" w:line="240"/>
            </w:pPr>
            <w:r>
              <w:rPr>
                <w:b/>
                <w:bCs/>
                <w:sz w:val="17"/>
                <w:szCs w:val="17"/>
              </w:rPr>
              <w:t xml:space="preserve">UAE Net Zero by 2050 Strategic Initiative</w:t>
            </w:r>
            <w:r>
              <w:rPr>
                <w:sz w:val="17"/>
                <w:szCs w:val="17"/>
              </w:rPr>
              <w:t xml:space="preserve"> (first MENA net-zero pledge, 2021)</w:t>
            </w:r>
          </w:p>
        </w:tc>
        <w:tc>
          <w:tcPr>
            <w:tcW w:type="dxa" w:w="2912"/>
            <w:shd w:fill="F5F1E8" w:val="clear"/>
            <w:tcMar>
              <w:top w:type="dxa" w:w="80"/>
              <w:left w:type="dxa" w:w="100"/>
              <w:bottom w:type="dxa" w:w="80"/>
              <w:right w:type="dxa" w:w="100"/>
            </w:tcMar>
          </w:tcPr>
          <w:p>
            <w:pPr>
              <w:spacing w:after="0" w:line="240"/>
            </w:pPr>
            <w:r>
              <w:rPr>
                <w:sz w:val="17"/>
                <w:szCs w:val="17"/>
              </w:rPr>
              <w:t xml:space="preserve">Waste-sector net-zero pathway under the first Long-Term Strategy (UAE LTS, 2023)</w:t>
            </w:r>
          </w:p>
        </w:tc>
        <w:tc>
          <w:tcPr>
            <w:tcW w:type="dxa" w:w="2914"/>
            <w:shd w:fill="F5F1E8" w:val="clear"/>
            <w:tcMar>
              <w:top w:type="dxa" w:w="80"/>
              <w:left w:type="dxa" w:w="100"/>
              <w:bottom w:type="dxa" w:w="80"/>
              <w:right w:type="dxa" w:w="100"/>
            </w:tcMar>
          </w:tcPr>
          <w:p>
            <w:pPr>
              <w:spacing w:after="0" w:line="240"/>
            </w:pPr>
            <w:r>
              <w:rPr>
                <w:sz w:val="17"/>
                <w:szCs w:val="17"/>
              </w:rPr>
              <w:t xml:space="preserve">Measurable GHG avoidance from recycled PET, aluminium and glass displacing virgin production; auditable under the 2024 Climate Change Law's reporting regime</w:t>
            </w:r>
          </w:p>
        </w:tc>
      </w:tr>
      <w:tr>
        <w:tc>
          <w:tcPr>
            <w:tcW w:type="dxa" w:w="2912"/>
            <w:shd w:fill="FFFFFF" w:val="clear"/>
            <w:tcMar>
              <w:top w:type="dxa" w:w="80"/>
              <w:left w:type="dxa" w:w="100"/>
              <w:bottom w:type="dxa" w:w="80"/>
              <w:right w:type="dxa" w:w="100"/>
            </w:tcMar>
          </w:tcPr>
          <w:p>
            <w:pPr>
              <w:spacing w:after="0" w:line="240"/>
            </w:pPr>
            <w:r>
              <w:rPr>
                <w:b/>
                <w:bCs/>
                <w:sz w:val="17"/>
                <w:szCs w:val="17"/>
              </w:rPr>
              <w:t xml:space="preserve">NDC 3.0</w:t>
            </w:r>
            <w:r>
              <w:rPr>
                <w:sz w:val="17"/>
                <w:szCs w:val="17"/>
              </w:rPr>
              <w:t xml:space="preserve"> (submitted Nov 2024)</w:t>
            </w:r>
          </w:p>
        </w:tc>
        <w:tc>
          <w:tcPr>
            <w:tcW w:type="dxa" w:w="2912"/>
            <w:shd w:fill="FFFFFF" w:val="clear"/>
            <w:tcMar>
              <w:top w:type="dxa" w:w="80"/>
              <w:left w:type="dxa" w:w="100"/>
              <w:bottom w:type="dxa" w:w="80"/>
              <w:right w:type="dxa" w:w="100"/>
            </w:tcMar>
          </w:tcPr>
          <w:p>
            <w:pPr>
              <w:spacing w:after="0" w:line="240"/>
            </w:pPr>
            <w:r>
              <w:rPr>
                <w:b/>
                <w:bCs/>
                <w:sz w:val="17"/>
                <w:szCs w:val="17"/>
              </w:rPr>
              <w:t xml:space="preserve">−47% GHG by 2035 vs 2019</w:t>
            </w:r>
            <w:r>
              <w:rPr>
                <w:sz w:val="17"/>
                <w:szCs w:val="17"/>
              </w:rPr>
              <w:t xml:space="preserve"> (UNFCCC, 2024)</w:t>
            </w:r>
          </w:p>
        </w:tc>
        <w:tc>
          <w:tcPr>
            <w:tcW w:type="dxa" w:w="2914"/>
            <w:shd w:fill="FFFFFF" w:val="clear"/>
            <w:tcMar>
              <w:top w:type="dxa" w:w="80"/>
              <w:left w:type="dxa" w:w="100"/>
              <w:bottom w:type="dxa" w:w="80"/>
              <w:right w:type="dxa" w:w="100"/>
            </w:tcMar>
          </w:tcPr>
          <w:p>
            <w:pPr>
              <w:spacing w:after="0" w:line="240"/>
            </w:pPr>
            <w:r>
              <w:rPr>
                <w:sz w:val="17"/>
                <w:szCs w:val="17"/>
              </w:rPr>
              <w:t xml:space="preserve">A quantified, annually reported waste-sector contribution - deposit-system data provides exactly the monitoring, reporting and verification (MRV) granularity NDC accounting requires</w:t>
            </w:r>
          </w:p>
        </w:tc>
      </w:tr>
      <w:tr>
        <w:tc>
          <w:tcPr>
            <w:tcW w:type="dxa" w:w="2912"/>
            <w:shd w:fill="F5F1E8" w:val="clear"/>
            <w:tcMar>
              <w:top w:type="dxa" w:w="80"/>
              <w:left w:type="dxa" w:w="100"/>
              <w:bottom w:type="dxa" w:w="80"/>
              <w:right w:type="dxa" w:w="100"/>
            </w:tcMar>
          </w:tcPr>
          <w:p>
            <w:pPr>
              <w:spacing w:after="0" w:line="240"/>
            </w:pPr>
            <w:r>
              <w:rPr>
                <w:b/>
                <w:bCs/>
                <w:sz w:val="17"/>
                <w:szCs w:val="17"/>
              </w:rPr>
              <w:t xml:space="preserve">Dubai Integrated Waste Management Strategy 2021-2041</w:t>
            </w:r>
          </w:p>
        </w:tc>
        <w:tc>
          <w:tcPr>
            <w:tcW w:type="dxa" w:w="2912"/>
            <w:shd w:fill="F5F1E8" w:val="clear"/>
            <w:tcMar>
              <w:top w:type="dxa" w:w="80"/>
              <w:left w:type="dxa" w:w="100"/>
              <w:bottom w:type="dxa" w:w="80"/>
              <w:right w:type="dxa" w:w="100"/>
            </w:tcMar>
          </w:tcPr>
          <w:p>
            <w:pPr>
              <w:spacing w:after="0" w:line="240"/>
            </w:pPr>
            <w:r>
              <w:rPr>
                <w:sz w:val="17"/>
                <w:szCs w:val="17"/>
              </w:rPr>
              <w:t xml:space="preserve">Zero waste to landfill by 2041; ≥56% recycling (Dubai Municipality)</w:t>
            </w:r>
          </w:p>
        </w:tc>
        <w:tc>
          <w:tcPr>
            <w:tcW w:type="dxa" w:w="2914"/>
            <w:shd w:fill="F5F1E8" w:val="clear"/>
            <w:tcMar>
              <w:top w:type="dxa" w:w="80"/>
              <w:left w:type="dxa" w:w="100"/>
              <w:bottom w:type="dxa" w:w="80"/>
              <w:right w:type="dxa" w:w="100"/>
            </w:tcMar>
          </w:tcPr>
          <w:p>
            <w:pPr>
              <w:spacing w:after="0" w:line="240"/>
            </w:pPr>
            <w:r>
              <w:rPr>
                <w:sz w:val="17"/>
                <w:szCs w:val="17"/>
              </w:rPr>
              <w:t xml:space="preserve">Removes the highest-volume recyclable consumer stream from residual waste at source</w:t>
            </w:r>
          </w:p>
        </w:tc>
      </w:tr>
      <w:tr>
        <w:tc>
          <w:tcPr>
            <w:tcW w:type="dxa" w:w="2912"/>
            <w:shd w:fill="FFFFFF" w:val="clear"/>
            <w:tcMar>
              <w:top w:type="dxa" w:w="80"/>
              <w:left w:type="dxa" w:w="100"/>
              <w:bottom w:type="dxa" w:w="80"/>
              <w:right w:type="dxa" w:w="100"/>
            </w:tcMar>
          </w:tcPr>
          <w:p>
            <w:pPr>
              <w:spacing w:after="0" w:line="240"/>
            </w:pPr>
            <w:r>
              <w:rPr>
                <w:b/>
                <w:bCs/>
                <w:sz w:val="17"/>
                <w:szCs w:val="17"/>
              </w:rPr>
              <w:t xml:space="preserve">Ministerial Decision No. 380 of 2022</w:t>
            </w:r>
            <w:r>
              <w:rPr>
                <w:sz w:val="17"/>
                <w:szCs w:val="17"/>
              </w:rPr>
              <w:t xml:space="preserve"> (single-use products)</w:t>
            </w:r>
          </w:p>
        </w:tc>
        <w:tc>
          <w:tcPr>
            <w:tcW w:type="dxa" w:w="2912"/>
            <w:shd w:fill="FFFFFF" w:val="clear"/>
            <w:tcMar>
              <w:top w:type="dxa" w:w="80"/>
              <w:left w:type="dxa" w:w="100"/>
              <w:bottom w:type="dxa" w:w="80"/>
              <w:right w:type="dxa" w:w="100"/>
            </w:tcMar>
          </w:tcPr>
          <w:p>
            <w:pPr>
              <w:spacing w:after="0" w:line="240"/>
            </w:pPr>
            <w:r>
              <w:rPr>
                <w:sz w:val="17"/>
                <w:szCs w:val="17"/>
              </w:rPr>
              <w:t xml:space="preserve">Final ban phase in force </w:t>
            </w:r>
            <w:r>
              <w:rPr>
                <w:b/>
                <w:bCs/>
                <w:sz w:val="17"/>
                <w:szCs w:val="17"/>
              </w:rPr>
              <w:t xml:space="preserve">1 January 2026</w:t>
            </w:r>
            <w:r>
              <w:rPr>
                <w:sz w:val="17"/>
                <w:szCs w:val="17"/>
              </w:rPr>
              <w:t xml:space="preserve"> (Plastics News, 2026)</w:t>
            </w:r>
          </w:p>
        </w:tc>
        <w:tc>
          <w:tcPr>
            <w:tcW w:type="dxa" w:w="2914"/>
            <w:shd w:fill="FFFFFF" w:val="clear"/>
            <w:tcMar>
              <w:top w:type="dxa" w:w="80"/>
              <w:left w:type="dxa" w:w="100"/>
              <w:bottom w:type="dxa" w:w="80"/>
              <w:right w:type="dxa" w:w="100"/>
            </w:tcMar>
          </w:tcPr>
          <w:p>
            <w:pPr>
              <w:spacing w:after="0" w:line="240"/>
            </w:pPr>
            <w:r>
              <w:rPr>
                <w:sz w:val="17"/>
                <w:szCs w:val="17"/>
              </w:rPr>
              <w:t xml:space="preserve">Addresses the dominant </w:t>
            </w:r>
            <w:r>
              <w:rPr>
                <w:i/>
                <w:iCs/>
                <w:sz w:val="17"/>
                <w:szCs w:val="17"/>
              </w:rPr>
              <w:t xml:space="preserve">remaining</w:t>
            </w:r>
            <w:r>
              <w:rPr>
                <w:sz w:val="17"/>
                <w:szCs w:val="17"/>
              </w:rPr>
              <w:t xml:space="preserve"> single-use stream after cups, cutlery, plates, straws and foam are banned</w:t>
            </w:r>
          </w:p>
        </w:tc>
      </w:tr>
      <w:tr>
        <w:tc>
          <w:tcPr>
            <w:tcW w:type="dxa" w:w="2912"/>
            <w:shd w:fill="F5F1E8" w:val="clear"/>
            <w:tcMar>
              <w:top w:type="dxa" w:w="80"/>
              <w:left w:type="dxa" w:w="100"/>
              <w:bottom w:type="dxa" w:w="80"/>
              <w:right w:type="dxa" w:w="100"/>
            </w:tcMar>
          </w:tcPr>
          <w:p>
            <w:pPr>
              <w:spacing w:after="0" w:line="240"/>
            </w:pPr>
            <w:r>
              <w:rPr>
                <w:b/>
                <w:bCs/>
                <w:sz w:val="17"/>
                <w:szCs w:val="17"/>
              </w:rPr>
              <w:t xml:space="preserve">National Agenda for Integrated Waste Management 2023-2026</w:t>
            </w:r>
          </w:p>
        </w:tc>
        <w:tc>
          <w:tcPr>
            <w:tcW w:type="dxa" w:w="2912"/>
            <w:shd w:fill="F5F1E8" w:val="clear"/>
            <w:tcMar>
              <w:top w:type="dxa" w:w="80"/>
              <w:left w:type="dxa" w:w="100"/>
              <w:bottom w:type="dxa" w:w="80"/>
              <w:right w:type="dxa" w:w="100"/>
            </w:tcMar>
          </w:tcPr>
          <w:p>
            <w:pPr>
              <w:spacing w:after="0" w:line="240"/>
            </w:pPr>
            <w:r>
              <w:rPr>
                <w:sz w:val="17"/>
                <w:szCs w:val="17"/>
              </w:rPr>
              <w:t xml:space="preserve">Treat 80% of municipal solid waste (WAM, 2024)</w:t>
            </w:r>
          </w:p>
        </w:tc>
        <w:tc>
          <w:tcPr>
            <w:tcW w:type="dxa" w:w="2914"/>
            <w:shd w:fill="F5F1E8" w:val="clear"/>
            <w:tcMar>
              <w:top w:type="dxa" w:w="80"/>
              <w:left w:type="dxa" w:w="100"/>
              <w:bottom w:type="dxa" w:w="80"/>
              <w:right w:type="dxa" w:w="100"/>
            </w:tcMar>
          </w:tcPr>
          <w:p>
            <w:pPr>
              <w:spacing w:after="0" w:line="240"/>
            </w:pPr>
            <w:r>
              <w:rPr>
                <w:sz w:val="17"/>
                <w:szCs w:val="17"/>
              </w:rPr>
              <w:t xml:space="preserve">Diverts ~3+ billion containers/yr at maturity from the municipal stream</w:t>
            </w:r>
          </w:p>
        </w:tc>
      </w:tr>
      <w:tr>
        <w:tc>
          <w:tcPr>
            <w:tcW w:type="dxa" w:w="2912"/>
            <w:shd w:fill="FFFFFF" w:val="clear"/>
            <w:tcMar>
              <w:top w:type="dxa" w:w="80"/>
              <w:left w:type="dxa" w:w="100"/>
              <w:bottom w:type="dxa" w:w="80"/>
              <w:right w:type="dxa" w:w="100"/>
            </w:tcMar>
          </w:tcPr>
          <w:p>
            <w:pPr>
              <w:spacing w:after="0" w:line="240"/>
            </w:pPr>
            <w:r>
              <w:rPr>
                <w:b/>
                <w:bCs/>
                <w:sz w:val="17"/>
                <w:szCs w:val="17"/>
              </w:rPr>
              <w:t xml:space="preserve">MOCCAE×Tadweer EPR pilot</w:t>
            </w:r>
            <w:r>
              <w:rPr>
                <w:sz w:val="17"/>
                <w:szCs w:val="17"/>
              </w:rPr>
              <w:t xml:space="preserve"> (3 July 2025)</w:t>
            </w:r>
          </w:p>
        </w:tc>
        <w:tc>
          <w:tcPr>
            <w:tcW w:type="dxa" w:w="2912"/>
            <w:shd w:fill="FFFFFF" w:val="clear"/>
            <w:tcMar>
              <w:top w:type="dxa" w:w="80"/>
              <w:left w:type="dxa" w:w="100"/>
              <w:bottom w:type="dxa" w:w="80"/>
              <w:right w:type="dxa" w:w="100"/>
            </w:tcMar>
          </w:tcPr>
          <w:p>
            <w:pPr>
              <w:spacing w:after="0" w:line="240"/>
            </w:pPr>
            <w:r>
              <w:rPr>
                <w:sz w:val="17"/>
                <w:szCs w:val="17"/>
              </w:rPr>
              <w:t xml:space="preserve">First UAE EPR pilot: packaging, EEE and batteries; Tadweer as PRO; 26 companies (Gulf News, 2025)</w:t>
            </w:r>
          </w:p>
        </w:tc>
        <w:tc>
          <w:tcPr>
            <w:tcW w:type="dxa" w:w="2914"/>
            <w:shd w:fill="FFFFFF" w:val="clear"/>
            <w:tcMar>
              <w:top w:type="dxa" w:w="80"/>
              <w:left w:type="dxa" w:w="100"/>
              <w:bottom w:type="dxa" w:w="80"/>
              <w:right w:type="dxa" w:w="100"/>
            </w:tcMar>
          </w:tcPr>
          <w:p>
            <w:pPr>
              <w:spacing w:after="0" w:line="240"/>
            </w:pPr>
            <w:r>
              <w:rPr>
                <w:sz w:val="17"/>
                <w:szCs w:val="17"/>
              </w:rPr>
              <w:t xml:space="preserve">The regulatory gateway - a DRS is EPR's most effective beverage-container instrument and nests directly into the pilot's producer-registration and reporting machinery</w:t>
            </w:r>
          </w:p>
        </w:tc>
      </w:tr>
    </w:tbl>
    <w:p>
      <w:pPr>
        <w:spacing w:after="200"/>
      </w:pPr>
      <w:r>
        <w:rPr>
          <w:sz w:val="8"/>
          <w:szCs w:val="8"/>
        </w:rPr>
        <w:t xml:space="preserve"/>
      </w:r>
    </w:p>
    <w:p>
      <w:pPr>
        <w:pStyle w:val="Heading2"/>
        <w:keepNext/>
        <w:spacing w:after="140" w:before="340"/>
      </w:pPr>
      <w:r>
        <w:rPr>
          <w:rFonts w:ascii="Georgia" w:cs="Georgia" w:eastAsia="Georgia" w:hAnsi="Georgia"/>
          <w:b/>
          <w:bCs/>
          <w:color w:val="1B2A4A"/>
          <w:sz w:val="30"/>
          <w:szCs w:val="30"/>
        </w:rPr>
        <w:t xml:space="preserve">3.2 The 2026 single-use plastics ban: beverage containers are the next stream</w:t>
      </w:r>
    </w:p>
    <w:p>
      <w:pPr>
        <w:spacing w:after="160" w:line="300"/>
        <w:jc w:val="both"/>
      </w:pPr>
      <w:r>
        <w:t xml:space="preserve">The federal ban was sequenced deliberately: shopping bags in January 2024, then - from </w:t>
      </w:r>
      <w:r>
        <w:rPr>
          <w:b/>
          <w:bCs/>
        </w:rPr>
        <w:t xml:space="preserve">1 January 2026</w:t>
      </w:r>
      <w:r>
        <w:t xml:space="preserve"> - cups, lids, cutlery, plates, straws, stirrers and foam food containers (Ministerial Decision No. 380 of 2022; USDA FAS, 2023; Plastics News, 2026). MOCCAE framed the final phase as designing "waste and pollution out of its systems" (Gulf News, 2025). The emirates moved even earlier: Abu Dhabi eliminated </w:t>
      </w:r>
      <w:r>
        <w:rPr>
          <w:b/>
          <w:bCs/>
        </w:rPr>
        <w:t xml:space="preserve">364 million plastic bags</w:t>
      </w:r>
      <w:r>
        <w:t xml:space="preserve"> under its 2022 ban (Abu Dhabi Media Office, 2024); Dubai's Resolution No. 124 of 2023 phased out bags, stirrers, straws and tableware through January 2026.</w:t>
      </w:r>
    </w:p>
    <w:p>
      <w:pPr>
        <w:spacing w:after="160" w:line="300"/>
        <w:jc w:val="both"/>
      </w:pPr>
      <w:r>
        <w:t xml:space="preserve">What remains - by volume, by litter visibility, and by recyclate value - is the beverage container. Unlike the banned items, beverage containers are not being prohibited; they are being </w:t>
      </w:r>
      <w:r>
        <w:rPr>
          <w:b/>
          <w:bCs/>
        </w:rPr>
        <w:t xml:space="preserve">recovered</w:t>
      </w:r>
      <w:r>
        <w:t xml:space="preserve">, at 90% rates, as industrial feedstock. The DRS completes the single-use agenda rather than duplicating it.</w:t>
      </w:r>
    </w:p>
    <w:p>
      <w:pPr>
        <w:pStyle w:val="Heading2"/>
        <w:keepNext/>
        <w:spacing w:after="140" w:before="340"/>
      </w:pPr>
      <w:r>
        <w:rPr>
          <w:rFonts w:ascii="Georgia" w:cs="Georgia" w:eastAsia="Georgia" w:hAnsi="Georgia"/>
          <w:b/>
          <w:bCs/>
          <w:color w:val="1B2A4A"/>
          <w:sz w:val="30"/>
          <w:szCs w:val="30"/>
        </w:rPr>
        <w:t xml:space="preserve">3.3 The EPR pilot as the regulatory gateway</w:t>
      </w:r>
    </w:p>
    <w:p>
      <w:pPr>
        <w:spacing w:after="160" w:line="300"/>
        <w:jc w:val="both"/>
      </w:pPr>
      <w:r>
        <w:t xml:space="preserve">On </w:t>
      </w:r>
      <w:r>
        <w:rPr>
          <w:b/>
          <w:bCs/>
        </w:rPr>
        <w:t xml:space="preserve">3 July 2025</w:t>
      </w:r>
      <w:r>
        <w:t xml:space="preserve">, MOCCAE signed a memorandum with </w:t>
      </w:r>
      <w:r>
        <w:rPr>
          <w:b/>
          <w:bCs/>
        </w:rPr>
        <w:t xml:space="preserve">Tadweer Group</w:t>
      </w:r>
      <w:r>
        <w:t xml:space="preserve"> launching the UAE's first Extended Producer Responsibility pilot: six months across Abu Dhabi and Dubai, covering packaging, electrical and electronic equipment and batteries, with Tadweer acting as Producer Responsibility Organisation and </w:t>
      </w:r>
      <w:r>
        <w:rPr>
          <w:b/>
          <w:bCs/>
        </w:rPr>
        <w:t xml:space="preserve">26 companies</w:t>
      </w:r>
      <w:r>
        <w:t xml:space="preserve"> participating - signed in the presence of H.E. Dr. Amna bint Abdullah Al Dahak, Minister of Climate Change and Environment (Gulf News, 2025; Packaging MEA, 2025). Advisory sources indicate a </w:t>
      </w:r>
      <w:r>
        <w:rPr>
          <w:b/>
          <w:bCs/>
        </w:rPr>
        <w:t xml:space="preserve">national EPR framework in 2026</w:t>
      </w:r>
      <w:r>
        <w:t xml:space="preserve"> built on this pilot and on Federal Law No. 12 of 2018 (ESG WISE, 2025).</w:t>
      </w:r>
    </w:p>
    <w:p>
      <w:pPr>
        <w:spacing w:after="160" w:line="300"/>
        <w:jc w:val="both"/>
      </w:pPr>
      <w:r>
        <w:t xml:space="preserve">This is the institutional runway for a DRS. Producer registration, packaging reporting and a functioning PRO are precisely the machinery a deposit system plugs into; regional practitioners themselves describe DRS as "the foundation for EPR" (Waste &amp; Recycling MEA, 2026). The proposed operator model - producer-funded, non-profit, single centralised administrator - is the standard European DSO structure that the pilot's participants already understand.</w:t>
      </w:r>
    </w:p>
    <w:p>
      <w:pPr>
        <w:pBdr>
          <w:left w:val="single" w:color="9C4F2E" w:sz="18"/>
        </w:pBdr>
        <w:shd w:fill="F5F1E8" w:val="clear"/>
        <w:spacing w:after="200" w:before="120" w:line="270"/>
        <w:ind w:left="260" w:right="260"/>
      </w:pPr>
      <w:r>
        <w:rPr>
          <w:b/>
          <w:bCs/>
          <w:i w:val="false"/>
          <w:iCs w:val="false"/>
          <w:sz w:val="19"/>
          <w:szCs w:val="19"/>
        </w:rPr>
        <w:t xml:space="preserve">[DATA GAP: the 2026 national EPR framework's final scope, fees and treatment of beverage containers are not yet public; this study assumes - and recommends - a dedicated deposit regime for beverage containers within it.]</w:t>
      </w:r>
    </w:p>
    <w:p>
      <w:pPr>
        <w:pStyle w:val="Heading2"/>
        <w:keepNext/>
        <w:spacing w:after="140" w:before="340"/>
      </w:pPr>
      <w:r>
        <w:rPr>
          <w:rFonts w:ascii="Georgia" w:cs="Georgia" w:eastAsia="Georgia" w:hAnsi="Georgia"/>
          <w:b/>
          <w:bCs/>
          <w:color w:val="1B2A4A"/>
          <w:sz w:val="30"/>
          <w:szCs w:val="30"/>
        </w:rPr>
        <w:t xml:space="preserve">3.4 The Circular Economy Council: the governance home</w:t>
      </w:r>
    </w:p>
    <w:p>
      <w:pPr>
        <w:spacing w:after="160" w:line="300"/>
        <w:jc w:val="both"/>
      </w:pPr>
      <w:r>
        <w:t xml:space="preserve">The </w:t>
      </w:r>
      <w:r>
        <w:rPr>
          <w:b/>
          <w:bCs/>
        </w:rPr>
        <w:t xml:space="preserve">UAE Circular Economy Council</w:t>
      </w:r>
      <w:r>
        <w:t xml:space="preserve">, chaired by </w:t>
      </w:r>
      <w:r>
        <w:rPr>
          <w:b/>
          <w:bCs/>
        </w:rPr>
        <w:t xml:space="preserve">H.E. Abdulla bin Touq Al Marri, Minister of Economy and Tourism</w:t>
      </w:r>
      <w:r>
        <w:t xml:space="preserve">, held its first meeting after restructuring on </w:t>
      </w:r>
      <w:r>
        <w:rPr>
          <w:b/>
          <w:bCs/>
        </w:rPr>
        <w:t xml:space="preserve">9 December 2024</w:t>
      </w:r>
      <w:r>
        <w:t xml:space="preserve">, discussing successive packages of circular-economy policies, an </w:t>
      </w:r>
      <w:r>
        <w:rPr>
          <w:b/>
          <w:bCs/>
        </w:rPr>
        <w:t xml:space="preserve">Aluminium Recycling Coalition</w:t>
      </w:r>
      <w:r>
        <w:t xml:space="preserve"> and a Circular Economy Innovation Platform (Ministry of Economy, 2024). The Council is the natural convening body for the DRS design working group requested in Chapter 1: its membership spans exactly the ministries, producers and recyclers whose alignment determines DRS success, and its aluminium agenda connects directly to the can stream - the UAE consumes ~</w:t>
      </w:r>
      <w:r>
        <w:rPr>
          <w:b/>
          <w:bCs/>
        </w:rPr>
        <w:t xml:space="preserve">660 million cans per year</w:t>
      </w:r>
      <w:r>
        <w:t xml:space="preserve">, of which only about one-third are recycled today (Emirates Global Aluminium, 2024).</w:t>
      </w:r>
    </w:p>
    <w:p>
      <w:pPr>
        <w:pStyle w:val="Heading2"/>
        <w:keepNext/>
        <w:spacing w:after="140" w:before="340"/>
      </w:pPr>
      <w:r>
        <w:rPr>
          <w:rFonts w:ascii="Georgia" w:cs="Georgia" w:eastAsia="Georgia" w:hAnsi="Georgia"/>
          <w:b/>
          <w:bCs/>
          <w:color w:val="1B2A4A"/>
          <w:sz w:val="30"/>
          <w:szCs w:val="30"/>
        </w:rPr>
        <w:t xml:space="preserve">3.5 A regional first-mover position</w:t>
      </w:r>
    </w:p>
    <w:p>
      <w:pPr>
        <w:spacing w:after="160" w:line="300"/>
        <w:jc w:val="both"/>
      </w:pPr>
      <w:r>
        <w:t xml:space="preserve">No GCC state operates a national beverage-container DRS. Saudi Arabia's waste sector is being restructured around SIRC and MWAN with headline diversion targets but no confirmed container-deposit law; no verifiable Qatari scheme exists (R2 policy brief, 2026). With Türkiye's national DRS launching only in July 2026, a UAE decision in 2026-2027 would make the Emirates the </w:t>
      </w:r>
      <w:r>
        <w:rPr>
          <w:b/>
          <w:bCs/>
        </w:rPr>
        <w:t xml:space="preserve">first GCC state - and one of the first in the wider region - with a national, legislated DRS</w:t>
      </w:r>
      <w:r>
        <w:t xml:space="preserve">: a position of policy leadership consistent with hosting COP28 and with the Net Zero 2050 pledge's first-mover character.</w:t>
      </w:r>
    </w:p>
    <w:p>
      <w:pPr>
        <w:pBdr>
          <w:left w:val="single" w:color="C9A227" w:sz="18"/>
        </w:pBdr>
        <w:shd w:fill="F5F1E8" w:val="clear"/>
        <w:spacing w:after="100" w:before="60" w:line="280"/>
        <w:ind w:left="260" w:right="260"/>
      </w:pPr>
      <w:r>
        <w:rPr>
          <w:b/>
          <w:bCs/>
          <w:color w:val="1B2A4A"/>
          <w:sz w:val="20"/>
          <w:szCs w:val="20"/>
        </w:rPr>
        <w:t xml:space="preserve">Strategic summary:</w:t>
      </w:r>
      <w:r>
        <w:rPr>
          <w:color w:val="1B2A4A"/>
          <w:sz w:val="20"/>
          <w:szCs w:val="20"/>
        </w:rPr>
        <w:t xml:space="preserve"> every instrument the UAE has already legislated - circular economy, net zero, EPR, single-use plastics, emirate waste strategies - points at the same remaining gap. A national DRS closes it with a self-financing, internationally proven mechanism, and it is the only major circular-economy deliverable the UAE can bring to 90% performance within a single policy cycle.</w:t>
      </w:r>
    </w:p>
    <w:p>
      <w:pPr>
        <w:spacing w:after="120"/>
      </w:pPr>
      <w:r>
        <w:rPr>
          <w:sz w:val="8"/>
          <w:szCs w:val="8"/>
        </w:rPr>
        <w:t xml:space="preserve"/>
      </w:r>
    </w:p>
    <w:p>
      <w:pPr>
        <w:pageBreakBefore/>
        <w:spacing w:after="120" w:before="3600"/>
        <w:jc w:val="center"/>
      </w:pPr>
      <w:r>
        <w:rPr>
          <w:rFonts w:ascii="Georgia" w:cs="Georgia" w:eastAsia="Georgia" w:hAnsi="Georgia"/>
          <w:b/>
          <w:bCs/>
          <w:color w:val="C9A227"/>
          <w:spacing w:val="60"/>
          <w:sz w:val="26"/>
          <w:szCs w:val="26"/>
        </w:rPr>
        <w:t xml:space="preserve">PART II</w:t>
      </w:r>
    </w:p>
    <w:p>
      <w:pPr>
        <w:pStyle w:val="Heading1"/>
        <w:spacing w:after="200"/>
        <w:jc w:val="center"/>
      </w:pPr>
      <w:r>
        <w:rPr>
          <w:rFonts w:ascii="Georgia" w:cs="Georgia" w:eastAsia="Georgia" w:hAnsi="Georgia"/>
          <w:b/>
          <w:bCs/>
          <w:color w:val="1B2A4A"/>
          <w:sz w:val="56"/>
          <w:szCs w:val="56"/>
        </w:rPr>
        <w:t xml:space="preserve">International Evidence &amp; the UAE Market</w:t>
      </w:r>
    </w:p>
    <w:p>
      <w:pPr>
        <w:pBdr>
          <w:bottom w:val="single" w:color="C9A227" w:sz="12" w:space="1"/>
        </w:pBdr>
        <w:spacing w:after="200"/>
        <w:jc w:val="center"/>
      </w:pPr>
      <w:r>
        <w:rPr>
          <w:sz w:val="8"/>
          <w:szCs w:val="8"/>
        </w:rPr>
        <w:t xml:space="preserve"> </w:t>
      </w:r>
    </w:p>
    <w:p>
      <w:pPr>
        <w:pageBreakBefore/>
        <w:spacing w:after="80" w:before="0"/>
      </w:pPr>
      <w:r>
        <w:rPr>
          <w:rFonts w:ascii="Georgia" w:cs="Georgia" w:eastAsia="Georgia" w:hAnsi="Georgia"/>
          <w:b/>
          <w:bCs/>
          <w:color w:val="C9A227"/>
          <w:spacing w:val="40"/>
          <w:sz w:val="20"/>
          <w:szCs w:val="20"/>
        </w:rPr>
        <w:t xml:space="preserve">CHAPTER 4</w:t>
      </w:r>
    </w:p>
    <w:p>
      <w:pPr>
        <w:pStyle w:val="Heading1"/>
        <w:pBdr>
          <w:bottom w:val="single" w:color="C9A227" w:sz="10" w:space="4"/>
        </w:pBdr>
        <w:spacing w:after="280"/>
      </w:pPr>
      <w:r>
        <w:rPr>
          <w:rFonts w:ascii="Georgia" w:cs="Georgia" w:eastAsia="Georgia" w:hAnsi="Georgia"/>
          <w:b/>
          <w:bCs/>
          <w:color w:val="1B2A4A"/>
          <w:sz w:val="44"/>
          <w:szCs w:val="44"/>
        </w:rPr>
        <w:t xml:space="preserve">International Evidence &amp; Benchmarks</w:t>
      </w:r>
    </w:p>
    <w:p>
      <w:pPr>
        <w:spacing w:after="160" w:line="300"/>
        <w:jc w:val="both"/>
      </w:pPr>
      <w:r>
        <w:rPr>
          <w:b/>
          <w:bCs/>
        </w:rPr>
        <w:t xml:space="preserve">Deposit return is no longer an experiment. It is the global default for high-performing beverage-container collection - and the evidence base the UAE can design from is deeper in 2026 than at any point in history.</w:t>
      </w:r>
    </w:p>
    <w:p>
      <w:pPr>
        <w:pStyle w:val="Heading2"/>
        <w:keepNext/>
        <w:spacing w:after="140" w:before="340"/>
      </w:pPr>
      <w:r>
        <w:rPr>
          <w:rFonts w:ascii="Georgia" w:cs="Georgia" w:eastAsia="Georgia" w:hAnsi="Georgia"/>
          <w:b/>
          <w:bCs/>
          <w:color w:val="1B2A4A"/>
          <w:sz w:val="30"/>
          <w:szCs w:val="30"/>
        </w:rPr>
        <w:t xml:space="preserve">4.1 The Global Landscape in 2026</w:t>
      </w:r>
    </w:p>
    <w:p>
      <w:pPr>
        <w:spacing w:after="160" w:line="300"/>
        <w:jc w:val="both"/>
      </w:pPr>
      <w:r>
        <w:t xml:space="preserve">By the end of 2025, more than </w:t>
      </w:r>
      <w:r>
        <w:rPr>
          <w:b/>
          <w:bCs/>
        </w:rPr>
        <w:t xml:space="preserve">396 million people across 60 countries, states and territories</w:t>
      </w:r>
      <w:r>
        <w:t xml:space="preserve"> lived in jurisdictions operating a deposit return system (DRS) - up from 38 jurisdictions and 280 million people in 2016. The period 2020-2024 alone saw </w:t>
      </w:r>
      <w:r>
        <w:rPr>
          <w:b/>
          <w:bCs/>
        </w:rPr>
        <w:t xml:space="preserve">ten new systems launch, a record five-year window</w:t>
      </w:r>
      <w:r>
        <w:t xml:space="preserve">, and the momentum has not slowed: Austria (January 2025), Tasmania (May 2025), Poland (October 2025), Singapore (April 2026) and Türkiye (July 2026) have all gone live since. By end-2027, a further </w:t>
      </w:r>
      <w:r>
        <w:rPr>
          <w:b/>
          <w:bCs/>
        </w:rPr>
        <w:t xml:space="preserve">~189 million people</w:t>
      </w:r>
      <w:r>
        <w:t xml:space="preserve"> gain access as Türkiye, Singapore, Portugal, Uruguay and the UK complete their roll-outs, taking the world toward </w:t>
      </w:r>
      <w:r>
        <w:rPr>
          <w:b/>
          <w:bCs/>
        </w:rPr>
        <w:t xml:space="preserve">~70 jurisdictions covering ~641 million people</w:t>
      </w:r>
      <w:r>
        <w:t xml:space="preserve"> (Reloop, 2024; Reloop, 2026).</w:t>
      </w:r>
    </w:p>
    <w:p>
      <w:pPr>
        <w:spacing w:after="160" w:line="300"/>
        <w:jc w:val="both"/>
      </w:pPr>
      <w:r>
        <w:t xml:space="preserve">The performance case is unambiguous:</w:t>
      </w:r>
    </w:p>
    <w:p>
      <w:pPr>
        <w:spacing w:after="90" w:line="290"/>
        <w:ind w:left="380" w:hanging="180"/>
      </w:pPr>
      <w:r>
        <w:rPr>
          <w:b/>
          <w:bCs/>
          <w:color w:val="C9A227"/>
        </w:rPr>
        <w:t xml:space="preserve">• </w:t>
      </w:r>
      <w:r>
        <w:rPr>
          <w:b/>
          <w:bCs/>
        </w:rPr>
        <w:t xml:space="preserve">Median return rate in European DRS countries: 91%.</w:t>
      </w:r>
      <w:r>
        <w:t xml:space="preserve"> Kerbside and municipal collection programmes, after material losses, </w:t>
      </w:r>
      <w:r>
        <w:rPr>
          <w:b/>
          <w:bCs/>
        </w:rPr>
        <w:t xml:space="preserve">rarely exceed 50%</w:t>
      </w:r>
      <w:r>
        <w:t xml:space="preserve"> (Reloop, 2024; Reloop, 2026).</w:t>
      </w:r>
    </w:p>
    <w:p>
      <w:pPr>
        <w:spacing w:after="90" w:line="290"/>
        <w:ind w:left="380" w:hanging="180"/>
      </w:pPr>
      <w:r>
        <w:rPr>
          <w:b/>
          <w:bCs/>
          <w:color w:val="C9A227"/>
        </w:rPr>
        <w:t xml:space="preserve">• </w:t>
      </w:r>
      <w:r>
        <w:t xml:space="preserve">The world's top ten systems in 2025 - led by Finland (</w:t>
      </w:r>
      <w:r>
        <w:rPr>
          <w:b/>
          <w:bCs/>
        </w:rPr>
        <w:t xml:space="preserve">99%</w:t>
      </w:r>
      <w:r>
        <w:t xml:space="preserve">), Germany (</w:t>
      </w:r>
      <w:r>
        <w:rPr>
          <w:b/>
          <w:bCs/>
        </w:rPr>
        <w:t xml:space="preserve">98%</w:t>
      </w:r>
      <w:r>
        <w:t xml:space="preserve">), Denmark (</w:t>
      </w:r>
      <w:r>
        <w:rPr>
          <w:b/>
          <w:bCs/>
        </w:rPr>
        <w:t xml:space="preserve">93%</w:t>
      </w:r>
      <w:r>
        <w:t xml:space="preserve">) and Norway (</w:t>
      </w:r>
      <w:r>
        <w:rPr>
          <w:b/>
          <w:bCs/>
        </w:rPr>
        <w:t xml:space="preserve">92%</w:t>
      </w:r>
      <w:r>
        <w:t xml:space="preserve">) - all operate deposits (TOMRA, 2025).</w:t>
      </w:r>
    </w:p>
    <w:p>
      <w:pPr>
        <w:spacing w:after="90" w:line="290"/>
        <w:ind w:left="380" w:hanging="180"/>
      </w:pPr>
      <w:r>
        <w:rPr>
          <w:b/>
          <w:bCs/>
          <w:color w:val="C9A227"/>
        </w:rPr>
        <w:t xml:space="preserve">• </w:t>
      </w:r>
      <w:r>
        <w:t xml:space="preserve">Reloop's cross-jurisdiction analysis identifies three factors most associated with high return rates: </w:t>
      </w:r>
      <w:r>
        <w:rPr>
          <w:b/>
          <w:bCs/>
        </w:rPr>
        <w:t xml:space="preserve">deposit level, programme scope, and convenience of the return network</w:t>
      </w:r>
      <w:r>
        <w:t xml:space="preserve"> (Reloop, 2026).</w:t>
      </w:r>
    </w:p>
    <w:p>
      <w:pPr>
        <w:spacing w:after="160" w:line="300"/>
        <w:jc w:val="both"/>
      </w:pPr>
      <w:r>
        <w:t xml:space="preserve">Policy tailwinds reinforce the trend. The EU Packaging and Packaging Waste Regulation (PPWR) requires </w:t>
      </w:r>
      <w:r>
        <w:rPr>
          <w:b/>
          <w:bCs/>
        </w:rPr>
        <w:t xml:space="preserve">90% separate collection of plastic bottles and cans ≤3 L by 1 January 2029</w:t>
      </w:r>
      <w:r>
        <w:t xml:space="preserve"> - with a DRS mandatory unless a member state can demonstrate 80% collection by other means - alongside recycled-content mandates of 25% in PET bottles from 2025 and 30% from 2030 (Reloop, 2026). Deposit return is becoming the compliance mechanism of choice for exactly the materials the UAE system will target.</w:t>
      </w:r>
    </w:p>
    <w:p>
      <w:pPr>
        <w:spacing w:after="40" w:before="200"/>
        <w:jc w:val="center"/>
      </w:pPr>
      <w:r>
        <w:drawing>
          <wp:inline distT="0" distB="0" distL="0" distR="0">
            <wp:extent cx="5524500" cy="3400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524500" cy="3400425"/>
                    </a:xfrm>
                    <a:prstGeom prst="rect">
                      <a:avLst/>
                    </a:prstGeom>
                  </pic:spPr>
                </pic:pic>
              </a:graphicData>
            </a:graphic>
          </wp:inline>
        </w:drawing>
      </w:r>
    </w:p>
    <w:p>
      <w:pPr>
        <w:spacing w:after="240" w:before="40"/>
        <w:jc w:val="center"/>
      </w:pPr>
      <w:r>
        <w:rPr>
          <w:rFonts w:ascii="Calibri" w:cs="Calibri" w:eastAsia="Calibri" w:hAnsi="Calibri"/>
          <w:i/>
          <w:iCs/>
          <w:color w:val="4A6580"/>
          <w:sz w:val="17"/>
          <w:szCs w:val="17"/>
        </w:rPr>
        <w:t xml:space="preserve">Deposit systems outperform - return rates across benchmark DRS markets vs kerbside collection (Reloop Global Deposit Book 2024; operator reports 2025-26).</w:t>
      </w:r>
    </w:p>
    <w:p>
      <w:pPr>
        <w:keepNext/>
        <w:spacing w:after="80" w:before="280"/>
      </w:pPr>
      <w:r>
        <w:rPr>
          <w:rFonts w:ascii="Georgia" w:cs="Georgia" w:eastAsia="Georgia" w:hAnsi="Georgia"/>
          <w:b/>
          <w:bCs/>
          <w:color w:val="1B2A4A"/>
          <w:sz w:val="20"/>
          <w:szCs w:val="20"/>
        </w:rPr>
        <w:t xml:space="preserve">Table 4.1 - Benchmark systems: deposit values and return rates</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1747"/>
        <w:gridCol w:w="1747"/>
        <w:gridCol w:w="1747"/>
        <w:gridCol w:w="1747"/>
        <w:gridCol w:w="1750"/>
      </w:tblGrid>
      <w:tr>
        <w:trPr>
          <w:tblHeader/>
        </w:trPr>
        <w:tc>
          <w:tcPr>
            <w:tcW w:type="dxa" w:w="1747"/>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Jurisdiction</w:t>
            </w:r>
          </w:p>
        </w:tc>
        <w:tc>
          <w:tcPr>
            <w:tcW w:type="dxa" w:w="1747"/>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Launch</w:t>
            </w:r>
          </w:p>
        </w:tc>
        <w:tc>
          <w:tcPr>
            <w:tcW w:type="dxa" w:w="1747"/>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Deposit (local ≈ EUR)</w:t>
            </w:r>
          </w:p>
        </w:tc>
        <w:tc>
          <w:tcPr>
            <w:tcW w:type="dxa" w:w="1747"/>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Scope</w:t>
            </w:r>
          </w:p>
        </w:tc>
        <w:tc>
          <w:tcPr>
            <w:tcW w:type="dxa" w:w="1750"/>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Latest return rate</w:t>
            </w:r>
          </w:p>
        </w:tc>
      </w:tr>
      <w:tr>
        <w:tc>
          <w:tcPr>
            <w:tcW w:type="dxa" w:w="1747"/>
            <w:shd w:fill="FFFFFF" w:val="clear"/>
            <w:tcMar>
              <w:top w:type="dxa" w:w="80"/>
              <w:left w:type="dxa" w:w="100"/>
              <w:bottom w:type="dxa" w:w="80"/>
              <w:right w:type="dxa" w:w="100"/>
            </w:tcMar>
          </w:tcPr>
          <w:p>
            <w:pPr>
              <w:spacing w:after="0" w:line="240"/>
            </w:pPr>
            <w:r>
              <w:rPr>
                <w:sz w:val="17"/>
                <w:szCs w:val="17"/>
              </w:rPr>
              <w:t xml:space="preserve">Finland</w:t>
            </w:r>
          </w:p>
        </w:tc>
        <w:tc>
          <w:tcPr>
            <w:tcW w:type="dxa" w:w="1747"/>
            <w:shd w:fill="FFFFFF" w:val="clear"/>
            <w:tcMar>
              <w:top w:type="dxa" w:w="80"/>
              <w:left w:type="dxa" w:w="100"/>
              <w:bottom w:type="dxa" w:w="80"/>
              <w:right w:type="dxa" w:w="100"/>
            </w:tcMar>
          </w:tcPr>
          <w:p>
            <w:pPr>
              <w:spacing w:after="0" w:line="240"/>
            </w:pPr>
            <w:r>
              <w:rPr>
                <w:sz w:val="17"/>
                <w:szCs w:val="17"/>
              </w:rPr>
              <w:t xml:space="preserve">1996</w:t>
            </w:r>
          </w:p>
        </w:tc>
        <w:tc>
          <w:tcPr>
            <w:tcW w:type="dxa" w:w="1747"/>
            <w:shd w:fill="FFFFFF" w:val="clear"/>
            <w:tcMar>
              <w:top w:type="dxa" w:w="80"/>
              <w:left w:type="dxa" w:w="100"/>
              <w:bottom w:type="dxa" w:w="80"/>
              <w:right w:type="dxa" w:w="100"/>
            </w:tcMar>
          </w:tcPr>
          <w:p>
            <w:pPr>
              <w:spacing w:after="0" w:line="240"/>
            </w:pPr>
            <w:r>
              <w:rPr>
                <w:sz w:val="17"/>
                <w:szCs w:val="17"/>
              </w:rPr>
              <w:t xml:space="preserve">€0.10-0.40 by size; cans €0.15</w:t>
            </w:r>
          </w:p>
        </w:tc>
        <w:tc>
          <w:tcPr>
            <w:tcW w:type="dxa" w:w="1747"/>
            <w:shd w:fill="FFFFFF" w:val="clear"/>
            <w:tcMar>
              <w:top w:type="dxa" w:w="80"/>
              <w:left w:type="dxa" w:w="100"/>
              <w:bottom w:type="dxa" w:w="80"/>
              <w:right w:type="dxa" w:w="100"/>
            </w:tcMar>
          </w:tcPr>
          <w:p>
            <w:pPr>
              <w:spacing w:after="0" w:line="240"/>
            </w:pPr>
            <w:r>
              <w:rPr>
                <w:sz w:val="17"/>
                <w:szCs w:val="17"/>
              </w:rPr>
              <w:t xml:space="preserve">PET, cans, glass</w:t>
            </w:r>
          </w:p>
        </w:tc>
        <w:tc>
          <w:tcPr>
            <w:tcW w:type="dxa" w:w="1750"/>
            <w:shd w:fill="FFFFFF" w:val="clear"/>
            <w:tcMar>
              <w:top w:type="dxa" w:w="80"/>
              <w:left w:type="dxa" w:w="100"/>
              <w:bottom w:type="dxa" w:w="80"/>
              <w:right w:type="dxa" w:w="100"/>
            </w:tcMar>
          </w:tcPr>
          <w:p>
            <w:pPr>
              <w:spacing w:after="0" w:line="240"/>
            </w:pPr>
            <w:r>
              <w:rPr>
                <w:b/>
                <w:bCs/>
                <w:sz w:val="17"/>
                <w:szCs w:val="17"/>
              </w:rPr>
              <w:t xml:space="preserve">99%</w:t>
            </w:r>
            <w:r>
              <w:rPr>
                <w:sz w:val="17"/>
                <w:szCs w:val="17"/>
              </w:rPr>
              <w:t xml:space="preserve"> (TOMRA, 2025)</w:t>
            </w:r>
          </w:p>
        </w:tc>
      </w:tr>
      <w:tr>
        <w:tc>
          <w:tcPr>
            <w:tcW w:type="dxa" w:w="1747"/>
            <w:shd w:fill="F5F1E8" w:val="clear"/>
            <w:tcMar>
              <w:top w:type="dxa" w:w="80"/>
              <w:left w:type="dxa" w:w="100"/>
              <w:bottom w:type="dxa" w:w="80"/>
              <w:right w:type="dxa" w:w="100"/>
            </w:tcMar>
          </w:tcPr>
          <w:p>
            <w:pPr>
              <w:spacing w:after="0" w:line="240"/>
            </w:pPr>
            <w:r>
              <w:rPr>
                <w:sz w:val="17"/>
                <w:szCs w:val="17"/>
              </w:rPr>
              <w:t xml:space="preserve">Germany</w:t>
            </w:r>
          </w:p>
        </w:tc>
        <w:tc>
          <w:tcPr>
            <w:tcW w:type="dxa" w:w="1747"/>
            <w:shd w:fill="F5F1E8" w:val="clear"/>
            <w:tcMar>
              <w:top w:type="dxa" w:w="80"/>
              <w:left w:type="dxa" w:w="100"/>
              <w:bottom w:type="dxa" w:w="80"/>
              <w:right w:type="dxa" w:w="100"/>
            </w:tcMar>
          </w:tcPr>
          <w:p>
            <w:pPr>
              <w:spacing w:after="0" w:line="240"/>
            </w:pPr>
            <w:r>
              <w:rPr>
                <w:sz w:val="17"/>
                <w:szCs w:val="17"/>
              </w:rPr>
              <w:t xml:space="preserve">2003</w:t>
            </w:r>
          </w:p>
        </w:tc>
        <w:tc>
          <w:tcPr>
            <w:tcW w:type="dxa" w:w="1747"/>
            <w:shd w:fill="F5F1E8" w:val="clear"/>
            <w:tcMar>
              <w:top w:type="dxa" w:w="80"/>
              <w:left w:type="dxa" w:w="100"/>
              <w:bottom w:type="dxa" w:w="80"/>
              <w:right w:type="dxa" w:w="100"/>
            </w:tcMar>
          </w:tcPr>
          <w:p>
            <w:pPr>
              <w:spacing w:after="0" w:line="240"/>
            </w:pPr>
            <w:r>
              <w:rPr>
                <w:sz w:val="17"/>
                <w:szCs w:val="17"/>
              </w:rPr>
              <w:t xml:space="preserve">Flat </w:t>
            </w:r>
            <w:r>
              <w:rPr>
                <w:b/>
                <w:bCs/>
                <w:sz w:val="17"/>
                <w:szCs w:val="17"/>
              </w:rPr>
              <w:t xml:space="preserve">€0.25</w:t>
            </w:r>
            <w:r>
              <w:rPr>
                <w:sz w:val="17"/>
                <w:szCs w:val="17"/>
              </w:rPr>
              <w:t xml:space="preserve"> single-use</w:t>
            </w:r>
          </w:p>
        </w:tc>
        <w:tc>
          <w:tcPr>
            <w:tcW w:type="dxa" w:w="1747"/>
            <w:shd w:fill="F5F1E8" w:val="clear"/>
            <w:tcMar>
              <w:top w:type="dxa" w:w="80"/>
              <w:left w:type="dxa" w:w="100"/>
              <w:bottom w:type="dxa" w:w="80"/>
              <w:right w:type="dxa" w:w="100"/>
            </w:tcMar>
          </w:tcPr>
          <w:p>
            <w:pPr>
              <w:spacing w:after="0" w:line="240"/>
            </w:pPr>
            <w:r>
              <w:rPr>
                <w:sz w:val="17"/>
                <w:szCs w:val="17"/>
              </w:rPr>
              <w:t xml:space="preserve">PET, metal, glass</w:t>
            </w:r>
          </w:p>
        </w:tc>
        <w:tc>
          <w:tcPr>
            <w:tcW w:type="dxa" w:w="1750"/>
            <w:shd w:fill="F5F1E8" w:val="clear"/>
            <w:tcMar>
              <w:top w:type="dxa" w:w="80"/>
              <w:left w:type="dxa" w:w="100"/>
              <w:bottom w:type="dxa" w:w="80"/>
              <w:right w:type="dxa" w:w="100"/>
            </w:tcMar>
          </w:tcPr>
          <w:p>
            <w:pPr>
              <w:spacing w:after="0" w:line="240"/>
            </w:pPr>
            <w:r>
              <w:rPr>
                <w:b/>
                <w:bCs/>
                <w:sz w:val="17"/>
                <w:szCs w:val="17"/>
              </w:rPr>
              <w:t xml:space="preserve">98%</w:t>
            </w:r>
            <w:r>
              <w:rPr>
                <w:sz w:val="17"/>
                <w:szCs w:val="17"/>
              </w:rPr>
              <w:t xml:space="preserve"> (TOMRA, 2026)</w:t>
            </w:r>
          </w:p>
        </w:tc>
      </w:tr>
      <w:tr>
        <w:tc>
          <w:tcPr>
            <w:tcW w:type="dxa" w:w="1747"/>
            <w:shd w:fill="FFFFFF" w:val="clear"/>
            <w:tcMar>
              <w:top w:type="dxa" w:w="80"/>
              <w:left w:type="dxa" w:w="100"/>
              <w:bottom w:type="dxa" w:w="80"/>
              <w:right w:type="dxa" w:w="100"/>
            </w:tcMar>
          </w:tcPr>
          <w:p>
            <w:pPr>
              <w:spacing w:after="0" w:line="240"/>
            </w:pPr>
            <w:r>
              <w:rPr>
                <w:sz w:val="17"/>
                <w:szCs w:val="17"/>
              </w:rPr>
              <w:t xml:space="preserve">Denmark</w:t>
            </w:r>
          </w:p>
        </w:tc>
        <w:tc>
          <w:tcPr>
            <w:tcW w:type="dxa" w:w="1747"/>
            <w:shd w:fill="FFFFFF" w:val="clear"/>
            <w:tcMar>
              <w:top w:type="dxa" w:w="80"/>
              <w:left w:type="dxa" w:w="100"/>
              <w:bottom w:type="dxa" w:w="80"/>
              <w:right w:type="dxa" w:w="100"/>
            </w:tcMar>
          </w:tcPr>
          <w:p>
            <w:pPr>
              <w:spacing w:after="0" w:line="240"/>
            </w:pPr>
            <w:r>
              <w:rPr>
                <w:sz w:val="17"/>
                <w:szCs w:val="17"/>
              </w:rPr>
              <w:t xml:space="preserve">2002</w:t>
            </w:r>
          </w:p>
        </w:tc>
        <w:tc>
          <w:tcPr>
            <w:tcW w:type="dxa" w:w="1747"/>
            <w:shd w:fill="FFFFFF" w:val="clear"/>
            <w:tcMar>
              <w:top w:type="dxa" w:w="80"/>
              <w:left w:type="dxa" w:w="100"/>
              <w:bottom w:type="dxa" w:w="80"/>
              <w:right w:type="dxa" w:w="100"/>
            </w:tcMar>
          </w:tcPr>
          <w:p>
            <w:pPr>
              <w:spacing w:after="0" w:line="240"/>
            </w:pPr>
            <w:r>
              <w:rPr>
                <w:sz w:val="17"/>
                <w:szCs w:val="17"/>
              </w:rPr>
              <w:t xml:space="preserve">DKK 1-3 by type/size</w:t>
            </w:r>
          </w:p>
        </w:tc>
        <w:tc>
          <w:tcPr>
            <w:tcW w:type="dxa" w:w="1747"/>
            <w:shd w:fill="FFFFFF" w:val="clear"/>
            <w:tcMar>
              <w:top w:type="dxa" w:w="80"/>
              <w:left w:type="dxa" w:w="100"/>
              <w:bottom w:type="dxa" w:w="80"/>
              <w:right w:type="dxa" w:w="100"/>
            </w:tcMar>
          </w:tcPr>
          <w:p>
            <w:pPr>
              <w:spacing w:after="0" w:line="240"/>
            </w:pPr>
            <w:r>
              <w:rPr>
                <w:sz w:val="17"/>
                <w:szCs w:val="17"/>
              </w:rPr>
              <w:t xml:space="preserve">PET, metal, glass</w:t>
            </w:r>
          </w:p>
        </w:tc>
        <w:tc>
          <w:tcPr>
            <w:tcW w:type="dxa" w:w="1750"/>
            <w:shd w:fill="FFFFFF" w:val="clear"/>
            <w:tcMar>
              <w:top w:type="dxa" w:w="80"/>
              <w:left w:type="dxa" w:w="100"/>
              <w:bottom w:type="dxa" w:w="80"/>
              <w:right w:type="dxa" w:w="100"/>
            </w:tcMar>
          </w:tcPr>
          <w:p>
            <w:pPr>
              <w:spacing w:after="0" w:line="240"/>
            </w:pPr>
            <w:r>
              <w:rPr>
                <w:b/>
                <w:bCs/>
                <w:sz w:val="17"/>
                <w:szCs w:val="17"/>
              </w:rPr>
              <w:t xml:space="preserve">93%</w:t>
            </w:r>
            <w:r>
              <w:rPr>
                <w:sz w:val="17"/>
                <w:szCs w:val="17"/>
              </w:rPr>
              <w:t xml:space="preserve"> (TOMRA, 2025)</w:t>
            </w:r>
          </w:p>
        </w:tc>
      </w:tr>
      <w:tr>
        <w:tc>
          <w:tcPr>
            <w:tcW w:type="dxa" w:w="1747"/>
            <w:shd w:fill="F5F1E8" w:val="clear"/>
            <w:tcMar>
              <w:top w:type="dxa" w:w="80"/>
              <w:left w:type="dxa" w:w="100"/>
              <w:bottom w:type="dxa" w:w="80"/>
              <w:right w:type="dxa" w:w="100"/>
            </w:tcMar>
          </w:tcPr>
          <w:p>
            <w:pPr>
              <w:spacing w:after="0" w:line="240"/>
            </w:pPr>
            <w:r>
              <w:rPr>
                <w:sz w:val="17"/>
                <w:szCs w:val="17"/>
              </w:rPr>
              <w:t xml:space="preserve">Norway</w:t>
            </w:r>
          </w:p>
        </w:tc>
        <w:tc>
          <w:tcPr>
            <w:tcW w:type="dxa" w:w="1747"/>
            <w:shd w:fill="F5F1E8" w:val="clear"/>
            <w:tcMar>
              <w:top w:type="dxa" w:w="80"/>
              <w:left w:type="dxa" w:w="100"/>
              <w:bottom w:type="dxa" w:w="80"/>
              <w:right w:type="dxa" w:w="100"/>
            </w:tcMar>
          </w:tcPr>
          <w:p>
            <w:pPr>
              <w:spacing w:after="0" w:line="240"/>
            </w:pPr>
            <w:r>
              <w:rPr>
                <w:sz w:val="17"/>
                <w:szCs w:val="17"/>
              </w:rPr>
              <w:t xml:space="preserve">1999</w:t>
            </w:r>
          </w:p>
        </w:tc>
        <w:tc>
          <w:tcPr>
            <w:tcW w:type="dxa" w:w="1747"/>
            <w:shd w:fill="F5F1E8" w:val="clear"/>
            <w:tcMar>
              <w:top w:type="dxa" w:w="80"/>
              <w:left w:type="dxa" w:w="100"/>
              <w:bottom w:type="dxa" w:w="80"/>
              <w:right w:type="dxa" w:w="100"/>
            </w:tcMar>
          </w:tcPr>
          <w:p>
            <w:pPr>
              <w:spacing w:after="0" w:line="240"/>
            </w:pPr>
            <w:r>
              <w:rPr>
                <w:sz w:val="17"/>
                <w:szCs w:val="17"/>
              </w:rPr>
              <w:t xml:space="preserve">NOK 2 / NOK 3 by size</w:t>
            </w:r>
          </w:p>
        </w:tc>
        <w:tc>
          <w:tcPr>
            <w:tcW w:type="dxa" w:w="1747"/>
            <w:shd w:fill="F5F1E8" w:val="clear"/>
            <w:tcMar>
              <w:top w:type="dxa" w:w="80"/>
              <w:left w:type="dxa" w:w="100"/>
              <w:bottom w:type="dxa" w:w="80"/>
              <w:right w:type="dxa" w:w="100"/>
            </w:tcMar>
          </w:tcPr>
          <w:p>
            <w:pPr>
              <w:spacing w:after="0" w:line="240"/>
            </w:pPr>
            <w:r>
              <w:rPr>
                <w:sz w:val="17"/>
                <w:szCs w:val="17"/>
              </w:rPr>
              <w:t xml:space="preserve">PET, metal</w:t>
            </w:r>
          </w:p>
        </w:tc>
        <w:tc>
          <w:tcPr>
            <w:tcW w:type="dxa" w:w="1750"/>
            <w:shd w:fill="F5F1E8" w:val="clear"/>
            <w:tcMar>
              <w:top w:type="dxa" w:w="80"/>
              <w:left w:type="dxa" w:w="100"/>
              <w:bottom w:type="dxa" w:w="80"/>
              <w:right w:type="dxa" w:w="100"/>
            </w:tcMar>
          </w:tcPr>
          <w:p>
            <w:pPr>
              <w:spacing w:after="0" w:line="240"/>
            </w:pPr>
            <w:r>
              <w:rPr>
                <w:b/>
                <w:bCs/>
                <w:sz w:val="17"/>
                <w:szCs w:val="17"/>
              </w:rPr>
              <w:t xml:space="preserve">~92-93%</w:t>
            </w:r>
            <w:r>
              <w:rPr>
                <w:sz w:val="17"/>
                <w:szCs w:val="17"/>
              </w:rPr>
              <w:t xml:space="preserve"> (Circular X, 2023; Sustainability MEA, 2026)</w:t>
            </w:r>
          </w:p>
        </w:tc>
      </w:tr>
      <w:tr>
        <w:tc>
          <w:tcPr>
            <w:tcW w:type="dxa" w:w="1747"/>
            <w:shd w:fill="FFFFFF" w:val="clear"/>
            <w:tcMar>
              <w:top w:type="dxa" w:w="80"/>
              <w:left w:type="dxa" w:w="100"/>
              <w:bottom w:type="dxa" w:w="80"/>
              <w:right w:type="dxa" w:w="100"/>
            </w:tcMar>
          </w:tcPr>
          <w:p>
            <w:pPr>
              <w:spacing w:after="0" w:line="240"/>
            </w:pPr>
            <w:r>
              <w:rPr>
                <w:sz w:val="17"/>
                <w:szCs w:val="17"/>
              </w:rPr>
              <w:t xml:space="preserve">Lithuania</w:t>
            </w:r>
          </w:p>
        </w:tc>
        <w:tc>
          <w:tcPr>
            <w:tcW w:type="dxa" w:w="1747"/>
            <w:shd w:fill="FFFFFF" w:val="clear"/>
            <w:tcMar>
              <w:top w:type="dxa" w:w="80"/>
              <w:left w:type="dxa" w:w="100"/>
              <w:bottom w:type="dxa" w:w="80"/>
              <w:right w:type="dxa" w:w="100"/>
            </w:tcMar>
          </w:tcPr>
          <w:p>
            <w:pPr>
              <w:spacing w:after="0" w:line="240"/>
            </w:pPr>
            <w:r>
              <w:rPr>
                <w:sz w:val="17"/>
                <w:szCs w:val="17"/>
              </w:rPr>
              <w:t xml:space="preserve">2016</w:t>
            </w:r>
          </w:p>
        </w:tc>
        <w:tc>
          <w:tcPr>
            <w:tcW w:type="dxa" w:w="1747"/>
            <w:shd w:fill="FFFFFF" w:val="clear"/>
            <w:tcMar>
              <w:top w:type="dxa" w:w="80"/>
              <w:left w:type="dxa" w:w="100"/>
              <w:bottom w:type="dxa" w:w="80"/>
              <w:right w:type="dxa" w:w="100"/>
            </w:tcMar>
          </w:tcPr>
          <w:p>
            <w:pPr>
              <w:spacing w:after="0" w:line="240"/>
            </w:pPr>
            <w:r>
              <w:rPr>
                <w:sz w:val="17"/>
                <w:szCs w:val="17"/>
              </w:rPr>
              <w:t xml:space="preserve">Flat </w:t>
            </w:r>
            <w:r>
              <w:rPr>
                <w:b/>
                <w:bCs/>
                <w:sz w:val="17"/>
                <w:szCs w:val="17"/>
              </w:rPr>
              <w:t xml:space="preserve">€0.10</w:t>
            </w:r>
          </w:p>
        </w:tc>
        <w:tc>
          <w:tcPr>
            <w:tcW w:type="dxa" w:w="1747"/>
            <w:shd w:fill="FFFFFF" w:val="clear"/>
            <w:tcMar>
              <w:top w:type="dxa" w:w="80"/>
              <w:left w:type="dxa" w:w="100"/>
              <w:bottom w:type="dxa" w:w="80"/>
              <w:right w:type="dxa" w:w="100"/>
            </w:tcMar>
          </w:tcPr>
          <w:p>
            <w:pPr>
              <w:spacing w:after="0" w:line="240"/>
            </w:pPr>
            <w:r>
              <w:rPr>
                <w:sz w:val="17"/>
                <w:szCs w:val="17"/>
              </w:rPr>
              <w:t xml:space="preserve">PET, metal, glass</w:t>
            </w:r>
          </w:p>
        </w:tc>
        <w:tc>
          <w:tcPr>
            <w:tcW w:type="dxa" w:w="1750"/>
            <w:shd w:fill="FFFFFF" w:val="clear"/>
            <w:tcMar>
              <w:top w:type="dxa" w:w="80"/>
              <w:left w:type="dxa" w:w="100"/>
              <w:bottom w:type="dxa" w:w="80"/>
              <w:right w:type="dxa" w:w="100"/>
            </w:tcMar>
          </w:tcPr>
          <w:p>
            <w:pPr>
              <w:spacing w:after="0" w:line="240"/>
            </w:pPr>
            <w:r>
              <w:rPr>
                <w:b/>
                <w:bCs/>
                <w:sz w:val="17"/>
                <w:szCs w:val="17"/>
              </w:rPr>
              <w:t xml:space="preserve">92.3%</w:t>
            </w:r>
            <w:r>
              <w:rPr>
                <w:sz w:val="17"/>
                <w:szCs w:val="17"/>
              </w:rPr>
              <w:t xml:space="preserve"> 2023; ~90% 2025 (GDB 2024; TOMRA, 2025)</w:t>
            </w:r>
          </w:p>
        </w:tc>
      </w:tr>
      <w:tr>
        <w:tc>
          <w:tcPr>
            <w:tcW w:type="dxa" w:w="1747"/>
            <w:shd w:fill="F5F1E8" w:val="clear"/>
            <w:tcMar>
              <w:top w:type="dxa" w:w="80"/>
              <w:left w:type="dxa" w:w="100"/>
              <w:bottom w:type="dxa" w:w="80"/>
              <w:right w:type="dxa" w:w="100"/>
            </w:tcMar>
          </w:tcPr>
          <w:p>
            <w:pPr>
              <w:spacing w:after="0" w:line="240"/>
            </w:pPr>
            <w:r>
              <w:rPr>
                <w:sz w:val="17"/>
                <w:szCs w:val="17"/>
              </w:rPr>
              <w:t xml:space="preserve">Slovakia</w:t>
            </w:r>
          </w:p>
        </w:tc>
        <w:tc>
          <w:tcPr>
            <w:tcW w:type="dxa" w:w="1747"/>
            <w:shd w:fill="F5F1E8" w:val="clear"/>
            <w:tcMar>
              <w:top w:type="dxa" w:w="80"/>
              <w:left w:type="dxa" w:w="100"/>
              <w:bottom w:type="dxa" w:w="80"/>
              <w:right w:type="dxa" w:w="100"/>
            </w:tcMar>
          </w:tcPr>
          <w:p>
            <w:pPr>
              <w:spacing w:after="0" w:line="240"/>
            </w:pPr>
            <w:r>
              <w:rPr>
                <w:sz w:val="17"/>
                <w:szCs w:val="17"/>
              </w:rPr>
              <w:t xml:space="preserve">2022</w:t>
            </w:r>
          </w:p>
        </w:tc>
        <w:tc>
          <w:tcPr>
            <w:tcW w:type="dxa" w:w="1747"/>
            <w:shd w:fill="F5F1E8" w:val="clear"/>
            <w:tcMar>
              <w:top w:type="dxa" w:w="80"/>
              <w:left w:type="dxa" w:w="100"/>
              <w:bottom w:type="dxa" w:w="80"/>
              <w:right w:type="dxa" w:w="100"/>
            </w:tcMar>
          </w:tcPr>
          <w:p>
            <w:pPr>
              <w:spacing w:after="0" w:line="240"/>
            </w:pPr>
            <w:r>
              <w:rPr>
                <w:sz w:val="17"/>
                <w:szCs w:val="17"/>
              </w:rPr>
              <w:t xml:space="preserve">Flat €0.15</w:t>
            </w:r>
          </w:p>
        </w:tc>
        <w:tc>
          <w:tcPr>
            <w:tcW w:type="dxa" w:w="1747"/>
            <w:shd w:fill="F5F1E8" w:val="clear"/>
            <w:tcMar>
              <w:top w:type="dxa" w:w="80"/>
              <w:left w:type="dxa" w:w="100"/>
              <w:bottom w:type="dxa" w:w="80"/>
              <w:right w:type="dxa" w:w="100"/>
            </w:tcMar>
          </w:tcPr>
          <w:p>
            <w:pPr>
              <w:spacing w:after="0" w:line="240"/>
            </w:pPr>
            <w:r>
              <w:rPr>
                <w:sz w:val="17"/>
                <w:szCs w:val="17"/>
              </w:rPr>
              <w:t xml:space="preserve">PET, metal</w:t>
            </w:r>
          </w:p>
        </w:tc>
        <w:tc>
          <w:tcPr>
            <w:tcW w:type="dxa" w:w="1750"/>
            <w:shd w:fill="F5F1E8" w:val="clear"/>
            <w:tcMar>
              <w:top w:type="dxa" w:w="80"/>
              <w:left w:type="dxa" w:w="100"/>
              <w:bottom w:type="dxa" w:w="80"/>
              <w:right w:type="dxa" w:w="100"/>
            </w:tcMar>
          </w:tcPr>
          <w:p>
            <w:pPr>
              <w:spacing w:after="0" w:line="240"/>
            </w:pPr>
            <w:r>
              <w:rPr>
                <w:b/>
                <w:bCs/>
                <w:sz w:val="17"/>
                <w:szCs w:val="17"/>
              </w:rPr>
              <w:t xml:space="preserve">~90%</w:t>
            </w:r>
            <w:r>
              <w:rPr>
                <w:sz w:val="17"/>
                <w:szCs w:val="17"/>
              </w:rPr>
              <w:t xml:space="preserve"> stabilised (SZS, 2025)</w:t>
            </w:r>
          </w:p>
        </w:tc>
      </w:tr>
      <w:tr>
        <w:tc>
          <w:tcPr>
            <w:tcW w:type="dxa" w:w="1747"/>
            <w:shd w:fill="FFFFFF" w:val="clear"/>
            <w:tcMar>
              <w:top w:type="dxa" w:w="80"/>
              <w:left w:type="dxa" w:w="100"/>
              <w:bottom w:type="dxa" w:w="80"/>
              <w:right w:type="dxa" w:w="100"/>
            </w:tcMar>
          </w:tcPr>
          <w:p>
            <w:pPr>
              <w:spacing w:after="0" w:line="240"/>
            </w:pPr>
            <w:r>
              <w:rPr>
                <w:sz w:val="17"/>
                <w:szCs w:val="17"/>
              </w:rPr>
              <w:t xml:space="preserve">Hungary</w:t>
            </w:r>
          </w:p>
        </w:tc>
        <w:tc>
          <w:tcPr>
            <w:tcW w:type="dxa" w:w="1747"/>
            <w:shd w:fill="FFFFFF" w:val="clear"/>
            <w:tcMar>
              <w:top w:type="dxa" w:w="80"/>
              <w:left w:type="dxa" w:w="100"/>
              <w:bottom w:type="dxa" w:w="80"/>
              <w:right w:type="dxa" w:w="100"/>
            </w:tcMar>
          </w:tcPr>
          <w:p>
            <w:pPr>
              <w:spacing w:after="0" w:line="240"/>
            </w:pPr>
            <w:r>
              <w:rPr>
                <w:sz w:val="17"/>
                <w:szCs w:val="17"/>
              </w:rPr>
              <w:t xml:space="preserve">2024</w:t>
            </w:r>
          </w:p>
        </w:tc>
        <w:tc>
          <w:tcPr>
            <w:tcW w:type="dxa" w:w="1747"/>
            <w:shd w:fill="FFFFFF" w:val="clear"/>
            <w:tcMar>
              <w:top w:type="dxa" w:w="80"/>
              <w:left w:type="dxa" w:w="100"/>
              <w:bottom w:type="dxa" w:w="80"/>
              <w:right w:type="dxa" w:w="100"/>
            </w:tcMar>
          </w:tcPr>
          <w:p>
            <w:pPr>
              <w:spacing w:after="0" w:line="240"/>
            </w:pPr>
            <w:r>
              <w:rPr>
                <w:sz w:val="17"/>
                <w:szCs w:val="17"/>
              </w:rPr>
              <w:t xml:space="preserve">Flat HUF 50 (€0.13)</w:t>
            </w:r>
          </w:p>
        </w:tc>
        <w:tc>
          <w:tcPr>
            <w:tcW w:type="dxa" w:w="1747"/>
            <w:shd w:fill="FFFFFF" w:val="clear"/>
            <w:tcMar>
              <w:top w:type="dxa" w:w="80"/>
              <w:left w:type="dxa" w:w="100"/>
              <w:bottom w:type="dxa" w:w="80"/>
              <w:right w:type="dxa" w:w="100"/>
            </w:tcMar>
          </w:tcPr>
          <w:p>
            <w:pPr>
              <w:spacing w:after="0" w:line="240"/>
            </w:pPr>
            <w:r>
              <w:rPr>
                <w:sz w:val="17"/>
                <w:szCs w:val="17"/>
              </w:rPr>
              <w:t xml:space="preserve">PET, metal, glass</w:t>
            </w:r>
          </w:p>
        </w:tc>
        <w:tc>
          <w:tcPr>
            <w:tcW w:type="dxa" w:w="1750"/>
            <w:shd w:fill="FFFFFF" w:val="clear"/>
            <w:tcMar>
              <w:top w:type="dxa" w:w="80"/>
              <w:left w:type="dxa" w:w="100"/>
              <w:bottom w:type="dxa" w:w="80"/>
              <w:right w:type="dxa" w:w="100"/>
            </w:tcMar>
          </w:tcPr>
          <w:p>
            <w:pPr>
              <w:spacing w:after="0" w:line="240"/>
            </w:pPr>
            <w:r>
              <w:rPr>
                <w:b/>
                <w:bCs/>
                <w:sz w:val="17"/>
                <w:szCs w:val="17"/>
              </w:rPr>
              <w:t xml:space="preserve">88.8%</w:t>
            </w:r>
            <w:r>
              <w:rPr>
                <w:sz w:val="17"/>
                <w:szCs w:val="17"/>
              </w:rPr>
              <w:t xml:space="preserve"> yr-2 (Diplomacy &amp; Trade, 2026)</w:t>
            </w:r>
          </w:p>
        </w:tc>
      </w:tr>
      <w:tr>
        <w:tc>
          <w:tcPr>
            <w:tcW w:type="dxa" w:w="1747"/>
            <w:shd w:fill="F5F1E8" w:val="clear"/>
            <w:tcMar>
              <w:top w:type="dxa" w:w="80"/>
              <w:left w:type="dxa" w:w="100"/>
              <w:bottom w:type="dxa" w:w="80"/>
              <w:right w:type="dxa" w:w="100"/>
            </w:tcMar>
          </w:tcPr>
          <w:p>
            <w:pPr>
              <w:spacing w:after="0" w:line="240"/>
            </w:pPr>
            <w:r>
              <w:rPr>
                <w:sz w:val="17"/>
                <w:szCs w:val="17"/>
              </w:rPr>
              <w:t xml:space="preserve">Sweden</w:t>
            </w:r>
          </w:p>
        </w:tc>
        <w:tc>
          <w:tcPr>
            <w:tcW w:type="dxa" w:w="1747"/>
            <w:shd w:fill="F5F1E8" w:val="clear"/>
            <w:tcMar>
              <w:top w:type="dxa" w:w="80"/>
              <w:left w:type="dxa" w:w="100"/>
              <w:bottom w:type="dxa" w:w="80"/>
              <w:right w:type="dxa" w:w="100"/>
            </w:tcMar>
          </w:tcPr>
          <w:p>
            <w:pPr>
              <w:spacing w:after="0" w:line="240"/>
            </w:pPr>
            <w:r>
              <w:rPr>
                <w:sz w:val="17"/>
                <w:szCs w:val="17"/>
              </w:rPr>
              <w:t xml:space="preserve">1984/1994</w:t>
            </w:r>
          </w:p>
        </w:tc>
        <w:tc>
          <w:tcPr>
            <w:tcW w:type="dxa" w:w="1747"/>
            <w:shd w:fill="F5F1E8" w:val="clear"/>
            <w:tcMar>
              <w:top w:type="dxa" w:w="80"/>
              <w:left w:type="dxa" w:w="100"/>
              <w:bottom w:type="dxa" w:w="80"/>
              <w:right w:type="dxa" w:w="100"/>
            </w:tcMar>
          </w:tcPr>
          <w:p>
            <w:pPr>
              <w:spacing w:after="0" w:line="240"/>
            </w:pPr>
            <w:r>
              <w:rPr>
                <w:sz w:val="17"/>
                <w:szCs w:val="17"/>
              </w:rPr>
              <w:t xml:space="preserve">SEK 1-2</w:t>
            </w:r>
          </w:p>
        </w:tc>
        <w:tc>
          <w:tcPr>
            <w:tcW w:type="dxa" w:w="1747"/>
            <w:shd w:fill="F5F1E8" w:val="clear"/>
            <w:tcMar>
              <w:top w:type="dxa" w:w="80"/>
              <w:left w:type="dxa" w:w="100"/>
              <w:bottom w:type="dxa" w:w="80"/>
              <w:right w:type="dxa" w:w="100"/>
            </w:tcMar>
          </w:tcPr>
          <w:p>
            <w:pPr>
              <w:spacing w:after="0" w:line="240"/>
            </w:pPr>
            <w:r>
              <w:rPr>
                <w:sz w:val="17"/>
                <w:szCs w:val="17"/>
              </w:rPr>
              <w:t xml:space="preserve">PET, cans</w:t>
            </w:r>
          </w:p>
        </w:tc>
        <w:tc>
          <w:tcPr>
            <w:tcW w:type="dxa" w:w="1750"/>
            <w:shd w:fill="F5F1E8" w:val="clear"/>
            <w:tcMar>
              <w:top w:type="dxa" w:w="80"/>
              <w:left w:type="dxa" w:w="100"/>
              <w:bottom w:type="dxa" w:w="80"/>
              <w:right w:type="dxa" w:w="100"/>
            </w:tcMar>
          </w:tcPr>
          <w:p>
            <w:pPr>
              <w:spacing w:after="0" w:line="240"/>
            </w:pPr>
            <w:r>
              <w:rPr>
                <w:b/>
                <w:bCs/>
                <w:sz w:val="17"/>
                <w:szCs w:val="17"/>
              </w:rPr>
              <w:t xml:space="preserve">88%</w:t>
            </w:r>
            <w:r>
              <w:rPr>
                <w:sz w:val="17"/>
                <w:szCs w:val="17"/>
              </w:rPr>
              <w:t xml:space="preserve"> (TOMRA, 2025)</w:t>
            </w:r>
          </w:p>
        </w:tc>
      </w:tr>
      <w:tr>
        <w:tc>
          <w:tcPr>
            <w:tcW w:type="dxa" w:w="1747"/>
            <w:shd w:fill="FFFFFF" w:val="clear"/>
            <w:tcMar>
              <w:top w:type="dxa" w:w="80"/>
              <w:left w:type="dxa" w:w="100"/>
              <w:bottom w:type="dxa" w:w="80"/>
              <w:right w:type="dxa" w:w="100"/>
            </w:tcMar>
          </w:tcPr>
          <w:p>
            <w:pPr>
              <w:spacing w:after="0" w:line="240"/>
            </w:pPr>
            <w:r>
              <w:rPr>
                <w:sz w:val="17"/>
                <w:szCs w:val="17"/>
              </w:rPr>
              <w:t xml:space="preserve">Ireland</w:t>
            </w:r>
          </w:p>
        </w:tc>
        <w:tc>
          <w:tcPr>
            <w:tcW w:type="dxa" w:w="1747"/>
            <w:shd w:fill="FFFFFF" w:val="clear"/>
            <w:tcMar>
              <w:top w:type="dxa" w:w="80"/>
              <w:left w:type="dxa" w:w="100"/>
              <w:bottom w:type="dxa" w:w="80"/>
              <w:right w:type="dxa" w:w="100"/>
            </w:tcMar>
          </w:tcPr>
          <w:p>
            <w:pPr>
              <w:spacing w:after="0" w:line="240"/>
            </w:pPr>
            <w:r>
              <w:rPr>
                <w:sz w:val="17"/>
                <w:szCs w:val="17"/>
              </w:rPr>
              <w:t xml:space="preserve">2024</w:t>
            </w:r>
          </w:p>
        </w:tc>
        <w:tc>
          <w:tcPr>
            <w:tcW w:type="dxa" w:w="1747"/>
            <w:shd w:fill="FFFFFF" w:val="clear"/>
            <w:tcMar>
              <w:top w:type="dxa" w:w="80"/>
              <w:left w:type="dxa" w:w="100"/>
              <w:bottom w:type="dxa" w:w="80"/>
              <w:right w:type="dxa" w:w="100"/>
            </w:tcMar>
          </w:tcPr>
          <w:p>
            <w:pPr>
              <w:spacing w:after="0" w:line="240"/>
            </w:pPr>
            <w:r>
              <w:rPr>
                <w:sz w:val="17"/>
                <w:szCs w:val="17"/>
              </w:rPr>
              <w:t xml:space="preserve">€0.15 / €0.25 by size</w:t>
            </w:r>
          </w:p>
        </w:tc>
        <w:tc>
          <w:tcPr>
            <w:tcW w:type="dxa" w:w="1747"/>
            <w:shd w:fill="FFFFFF" w:val="clear"/>
            <w:tcMar>
              <w:top w:type="dxa" w:w="80"/>
              <w:left w:type="dxa" w:w="100"/>
              <w:bottom w:type="dxa" w:w="80"/>
              <w:right w:type="dxa" w:w="100"/>
            </w:tcMar>
          </w:tcPr>
          <w:p>
            <w:pPr>
              <w:spacing w:after="0" w:line="240"/>
            </w:pPr>
            <w:r>
              <w:rPr>
                <w:sz w:val="17"/>
                <w:szCs w:val="17"/>
              </w:rPr>
              <w:t xml:space="preserve">PET, cans</w:t>
            </w:r>
          </w:p>
        </w:tc>
        <w:tc>
          <w:tcPr>
            <w:tcW w:type="dxa" w:w="1750"/>
            <w:shd w:fill="FFFFFF" w:val="clear"/>
            <w:tcMar>
              <w:top w:type="dxa" w:w="80"/>
              <w:left w:type="dxa" w:w="100"/>
              <w:bottom w:type="dxa" w:w="80"/>
              <w:right w:type="dxa" w:w="100"/>
            </w:tcMar>
          </w:tcPr>
          <w:p>
            <w:pPr>
              <w:spacing w:after="0" w:line="240"/>
            </w:pPr>
            <w:r>
              <w:rPr>
                <w:b/>
                <w:bCs/>
                <w:sz w:val="17"/>
                <w:szCs w:val="17"/>
              </w:rPr>
              <w:t xml:space="preserve">91%</w:t>
            </w:r>
            <w:r>
              <w:rPr>
                <w:sz w:val="17"/>
                <w:szCs w:val="17"/>
              </w:rPr>
              <w:t xml:space="preserve"> recycling by yr-2 (Oireachtas, 2025)</w:t>
            </w:r>
          </w:p>
        </w:tc>
      </w:tr>
      <w:tr>
        <w:tc>
          <w:tcPr>
            <w:tcW w:type="dxa" w:w="1747"/>
            <w:shd w:fill="F5F1E8" w:val="clear"/>
            <w:tcMar>
              <w:top w:type="dxa" w:w="80"/>
              <w:left w:type="dxa" w:w="100"/>
              <w:bottom w:type="dxa" w:w="80"/>
              <w:right w:type="dxa" w:w="100"/>
            </w:tcMar>
          </w:tcPr>
          <w:p>
            <w:pPr>
              <w:spacing w:after="0" w:line="240"/>
            </w:pPr>
            <w:r>
              <w:rPr>
                <w:sz w:val="17"/>
                <w:szCs w:val="17"/>
              </w:rPr>
              <w:t xml:space="preserve">Romania</w:t>
            </w:r>
          </w:p>
        </w:tc>
        <w:tc>
          <w:tcPr>
            <w:tcW w:type="dxa" w:w="1747"/>
            <w:shd w:fill="F5F1E8" w:val="clear"/>
            <w:tcMar>
              <w:top w:type="dxa" w:w="80"/>
              <w:left w:type="dxa" w:w="100"/>
              <w:bottom w:type="dxa" w:w="80"/>
              <w:right w:type="dxa" w:w="100"/>
            </w:tcMar>
          </w:tcPr>
          <w:p>
            <w:pPr>
              <w:spacing w:after="0" w:line="240"/>
            </w:pPr>
            <w:r>
              <w:rPr>
                <w:sz w:val="17"/>
                <w:szCs w:val="17"/>
              </w:rPr>
              <w:t xml:space="preserve">2023</w:t>
            </w:r>
          </w:p>
        </w:tc>
        <w:tc>
          <w:tcPr>
            <w:tcW w:type="dxa" w:w="1747"/>
            <w:shd w:fill="F5F1E8" w:val="clear"/>
            <w:tcMar>
              <w:top w:type="dxa" w:w="80"/>
              <w:left w:type="dxa" w:w="100"/>
              <w:bottom w:type="dxa" w:w="80"/>
              <w:right w:type="dxa" w:w="100"/>
            </w:tcMar>
          </w:tcPr>
          <w:p>
            <w:pPr>
              <w:spacing w:after="0" w:line="240"/>
            </w:pPr>
            <w:r>
              <w:rPr>
                <w:sz w:val="17"/>
                <w:szCs w:val="17"/>
              </w:rPr>
              <w:t xml:space="preserve">Flat RON 0.50 (€0.10)</w:t>
            </w:r>
          </w:p>
        </w:tc>
        <w:tc>
          <w:tcPr>
            <w:tcW w:type="dxa" w:w="1747"/>
            <w:shd w:fill="F5F1E8" w:val="clear"/>
            <w:tcMar>
              <w:top w:type="dxa" w:w="80"/>
              <w:left w:type="dxa" w:w="100"/>
              <w:bottom w:type="dxa" w:w="80"/>
              <w:right w:type="dxa" w:w="100"/>
            </w:tcMar>
          </w:tcPr>
          <w:p>
            <w:pPr>
              <w:spacing w:after="0" w:line="240"/>
            </w:pPr>
            <w:r>
              <w:rPr>
                <w:sz w:val="17"/>
                <w:szCs w:val="17"/>
              </w:rPr>
              <w:t xml:space="preserve">PET, metal, glass</w:t>
            </w:r>
          </w:p>
        </w:tc>
        <w:tc>
          <w:tcPr>
            <w:tcW w:type="dxa" w:w="1750"/>
            <w:shd w:fill="F5F1E8" w:val="clear"/>
            <w:tcMar>
              <w:top w:type="dxa" w:w="80"/>
              <w:left w:type="dxa" w:w="100"/>
              <w:bottom w:type="dxa" w:w="80"/>
              <w:right w:type="dxa" w:w="100"/>
            </w:tcMar>
          </w:tcPr>
          <w:p>
            <w:pPr>
              <w:spacing w:after="0" w:line="240"/>
            </w:pPr>
            <w:r>
              <w:rPr>
                <w:b/>
                <w:bCs/>
                <w:sz w:val="17"/>
                <w:szCs w:val="17"/>
              </w:rPr>
              <w:t xml:space="preserve">83%</w:t>
            </w:r>
            <w:r>
              <w:rPr>
                <w:sz w:val="17"/>
                <w:szCs w:val="17"/>
              </w:rPr>
              <w:t xml:space="preserve"> yr-2 (Romania Insider, 2026)</w:t>
            </w:r>
          </w:p>
        </w:tc>
      </w:tr>
      <w:tr>
        <w:tc>
          <w:tcPr>
            <w:tcW w:type="dxa" w:w="1747"/>
            <w:shd w:fill="FFFFFF" w:val="clear"/>
            <w:tcMar>
              <w:top w:type="dxa" w:w="80"/>
              <w:left w:type="dxa" w:w="100"/>
              <w:bottom w:type="dxa" w:w="80"/>
              <w:right w:type="dxa" w:w="100"/>
            </w:tcMar>
          </w:tcPr>
          <w:p>
            <w:pPr>
              <w:spacing w:after="0" w:line="240"/>
            </w:pPr>
            <w:r>
              <w:rPr>
                <w:sz w:val="17"/>
                <w:szCs w:val="17"/>
              </w:rPr>
              <w:t xml:space="preserve">Austria</w:t>
            </w:r>
          </w:p>
        </w:tc>
        <w:tc>
          <w:tcPr>
            <w:tcW w:type="dxa" w:w="1747"/>
            <w:shd w:fill="FFFFFF" w:val="clear"/>
            <w:tcMar>
              <w:top w:type="dxa" w:w="80"/>
              <w:left w:type="dxa" w:w="100"/>
              <w:bottom w:type="dxa" w:w="80"/>
              <w:right w:type="dxa" w:w="100"/>
            </w:tcMar>
          </w:tcPr>
          <w:p>
            <w:pPr>
              <w:spacing w:after="0" w:line="240"/>
            </w:pPr>
            <w:r>
              <w:rPr>
                <w:sz w:val="17"/>
                <w:szCs w:val="17"/>
              </w:rPr>
              <w:t xml:space="preserve">2025</w:t>
            </w:r>
          </w:p>
        </w:tc>
        <w:tc>
          <w:tcPr>
            <w:tcW w:type="dxa" w:w="1747"/>
            <w:shd w:fill="FFFFFF" w:val="clear"/>
            <w:tcMar>
              <w:top w:type="dxa" w:w="80"/>
              <w:left w:type="dxa" w:w="100"/>
              <w:bottom w:type="dxa" w:w="80"/>
              <w:right w:type="dxa" w:w="100"/>
            </w:tcMar>
          </w:tcPr>
          <w:p>
            <w:pPr>
              <w:spacing w:after="0" w:line="240"/>
            </w:pPr>
            <w:r>
              <w:rPr>
                <w:sz w:val="17"/>
                <w:szCs w:val="17"/>
              </w:rPr>
              <w:t xml:space="preserve">Flat €0.25</w:t>
            </w:r>
          </w:p>
        </w:tc>
        <w:tc>
          <w:tcPr>
            <w:tcW w:type="dxa" w:w="1747"/>
            <w:shd w:fill="FFFFFF" w:val="clear"/>
            <w:tcMar>
              <w:top w:type="dxa" w:w="80"/>
              <w:left w:type="dxa" w:w="100"/>
              <w:bottom w:type="dxa" w:w="80"/>
              <w:right w:type="dxa" w:w="100"/>
            </w:tcMar>
          </w:tcPr>
          <w:p>
            <w:pPr>
              <w:spacing w:after="0" w:line="240"/>
            </w:pPr>
            <w:r>
              <w:rPr>
                <w:sz w:val="17"/>
                <w:szCs w:val="17"/>
              </w:rPr>
              <w:t xml:space="preserve">PET, cans</w:t>
            </w:r>
          </w:p>
        </w:tc>
        <w:tc>
          <w:tcPr>
            <w:tcW w:type="dxa" w:w="1750"/>
            <w:shd w:fill="FFFFFF" w:val="clear"/>
            <w:tcMar>
              <w:top w:type="dxa" w:w="80"/>
              <w:left w:type="dxa" w:w="100"/>
              <w:bottom w:type="dxa" w:w="80"/>
              <w:right w:type="dxa" w:w="100"/>
            </w:tcMar>
          </w:tcPr>
          <w:p>
            <w:pPr>
              <w:spacing w:after="0" w:line="240"/>
            </w:pPr>
            <w:r>
              <w:rPr>
                <w:b/>
                <w:bCs/>
                <w:sz w:val="17"/>
                <w:szCs w:val="17"/>
              </w:rPr>
              <w:t xml:space="preserve">81.5%</w:t>
            </w:r>
            <w:r>
              <w:rPr>
                <w:sz w:val="17"/>
                <w:szCs w:val="17"/>
              </w:rPr>
              <w:t xml:space="preserve"> yr-1 (Sensoneo, 2026)</w:t>
            </w:r>
          </w:p>
        </w:tc>
      </w:tr>
      <w:tr>
        <w:tc>
          <w:tcPr>
            <w:tcW w:type="dxa" w:w="1747"/>
            <w:shd w:fill="F5F1E8" w:val="clear"/>
            <w:tcMar>
              <w:top w:type="dxa" w:w="80"/>
              <w:left w:type="dxa" w:w="100"/>
              <w:bottom w:type="dxa" w:w="80"/>
              <w:right w:type="dxa" w:w="100"/>
            </w:tcMar>
          </w:tcPr>
          <w:p>
            <w:pPr>
              <w:spacing w:after="0" w:line="240"/>
            </w:pPr>
            <w:r>
              <w:rPr>
                <w:sz w:val="17"/>
                <w:szCs w:val="17"/>
              </w:rPr>
              <w:t xml:space="preserve">Malta</w:t>
            </w:r>
          </w:p>
        </w:tc>
        <w:tc>
          <w:tcPr>
            <w:tcW w:type="dxa" w:w="1747"/>
            <w:shd w:fill="F5F1E8" w:val="clear"/>
            <w:tcMar>
              <w:top w:type="dxa" w:w="80"/>
              <w:left w:type="dxa" w:w="100"/>
              <w:bottom w:type="dxa" w:w="80"/>
              <w:right w:type="dxa" w:w="100"/>
            </w:tcMar>
          </w:tcPr>
          <w:p>
            <w:pPr>
              <w:spacing w:after="0" w:line="240"/>
            </w:pPr>
            <w:r>
              <w:rPr>
                <w:sz w:val="17"/>
                <w:szCs w:val="17"/>
              </w:rPr>
              <w:t xml:space="preserve">2022</w:t>
            </w:r>
          </w:p>
        </w:tc>
        <w:tc>
          <w:tcPr>
            <w:tcW w:type="dxa" w:w="1747"/>
            <w:shd w:fill="F5F1E8" w:val="clear"/>
            <w:tcMar>
              <w:top w:type="dxa" w:w="80"/>
              <w:left w:type="dxa" w:w="100"/>
              <w:bottom w:type="dxa" w:w="80"/>
              <w:right w:type="dxa" w:w="100"/>
            </w:tcMar>
          </w:tcPr>
          <w:p>
            <w:pPr>
              <w:spacing w:after="0" w:line="240"/>
            </w:pPr>
            <w:r>
              <w:rPr>
                <w:sz w:val="17"/>
                <w:szCs w:val="17"/>
              </w:rPr>
              <w:t xml:space="preserve">Flat €0.10</w:t>
            </w:r>
          </w:p>
        </w:tc>
        <w:tc>
          <w:tcPr>
            <w:tcW w:type="dxa" w:w="1747"/>
            <w:shd w:fill="F5F1E8" w:val="clear"/>
            <w:tcMar>
              <w:top w:type="dxa" w:w="80"/>
              <w:left w:type="dxa" w:w="100"/>
              <w:bottom w:type="dxa" w:w="80"/>
              <w:right w:type="dxa" w:w="100"/>
            </w:tcMar>
          </w:tcPr>
          <w:p>
            <w:pPr>
              <w:spacing w:after="0" w:line="240"/>
            </w:pPr>
            <w:r>
              <w:rPr>
                <w:sz w:val="17"/>
                <w:szCs w:val="17"/>
              </w:rPr>
              <w:t xml:space="preserve">PET, metal, glass</w:t>
            </w:r>
          </w:p>
        </w:tc>
        <w:tc>
          <w:tcPr>
            <w:tcW w:type="dxa" w:w="1750"/>
            <w:shd w:fill="F5F1E8" w:val="clear"/>
            <w:tcMar>
              <w:top w:type="dxa" w:w="80"/>
              <w:left w:type="dxa" w:w="100"/>
              <w:bottom w:type="dxa" w:w="80"/>
              <w:right w:type="dxa" w:w="100"/>
            </w:tcMar>
          </w:tcPr>
          <w:p>
            <w:pPr>
              <w:spacing w:after="0" w:line="240"/>
            </w:pPr>
            <w:r>
              <w:rPr>
                <w:b/>
                <w:bCs/>
                <w:sz w:val="17"/>
                <w:szCs w:val="17"/>
              </w:rPr>
              <w:t xml:space="preserve">85%</w:t>
            </w:r>
            <w:r>
              <w:rPr>
                <w:sz w:val="17"/>
                <w:szCs w:val="17"/>
              </w:rPr>
              <w:t xml:space="preserve"> yr-3 (Malta Independent, 2026)</w:t>
            </w:r>
          </w:p>
        </w:tc>
      </w:tr>
      <w:tr>
        <w:tc>
          <w:tcPr>
            <w:tcW w:type="dxa" w:w="1747"/>
            <w:shd w:fill="FFFFFF" w:val="clear"/>
            <w:tcMar>
              <w:top w:type="dxa" w:w="80"/>
              <w:left w:type="dxa" w:w="100"/>
              <w:bottom w:type="dxa" w:w="80"/>
              <w:right w:type="dxa" w:w="100"/>
            </w:tcMar>
          </w:tcPr>
          <w:p>
            <w:pPr>
              <w:spacing w:after="0" w:line="240"/>
            </w:pPr>
            <w:r>
              <w:rPr>
                <w:sz w:val="17"/>
                <w:szCs w:val="17"/>
              </w:rPr>
              <w:t xml:space="preserve">Estonia</w:t>
            </w:r>
          </w:p>
        </w:tc>
        <w:tc>
          <w:tcPr>
            <w:tcW w:type="dxa" w:w="1747"/>
            <w:shd w:fill="FFFFFF" w:val="clear"/>
            <w:tcMar>
              <w:top w:type="dxa" w:w="80"/>
              <w:left w:type="dxa" w:w="100"/>
              <w:bottom w:type="dxa" w:w="80"/>
              <w:right w:type="dxa" w:w="100"/>
            </w:tcMar>
          </w:tcPr>
          <w:p>
            <w:pPr>
              <w:spacing w:after="0" w:line="240"/>
            </w:pPr>
            <w:r>
              <w:rPr>
                <w:sz w:val="17"/>
                <w:szCs w:val="17"/>
              </w:rPr>
              <w:t xml:space="preserve">2005</w:t>
            </w:r>
          </w:p>
        </w:tc>
        <w:tc>
          <w:tcPr>
            <w:tcW w:type="dxa" w:w="1747"/>
            <w:shd w:fill="FFFFFF" w:val="clear"/>
            <w:tcMar>
              <w:top w:type="dxa" w:w="80"/>
              <w:left w:type="dxa" w:w="100"/>
              <w:bottom w:type="dxa" w:w="80"/>
              <w:right w:type="dxa" w:w="100"/>
            </w:tcMar>
          </w:tcPr>
          <w:p>
            <w:pPr>
              <w:spacing w:after="0" w:line="240"/>
            </w:pPr>
            <w:r>
              <w:rPr>
                <w:sz w:val="17"/>
                <w:szCs w:val="17"/>
              </w:rPr>
              <w:t xml:space="preserve">Flat €0.10</w:t>
            </w:r>
          </w:p>
        </w:tc>
        <w:tc>
          <w:tcPr>
            <w:tcW w:type="dxa" w:w="1747"/>
            <w:shd w:fill="FFFFFF" w:val="clear"/>
            <w:tcMar>
              <w:top w:type="dxa" w:w="80"/>
              <w:left w:type="dxa" w:w="100"/>
              <w:bottom w:type="dxa" w:w="80"/>
              <w:right w:type="dxa" w:w="100"/>
            </w:tcMar>
          </w:tcPr>
          <w:p>
            <w:pPr>
              <w:spacing w:after="0" w:line="240"/>
            </w:pPr>
            <w:r>
              <w:rPr>
                <w:sz w:val="17"/>
                <w:szCs w:val="17"/>
              </w:rPr>
              <w:t xml:space="preserve">PET, metal, glass</w:t>
            </w:r>
          </w:p>
        </w:tc>
        <w:tc>
          <w:tcPr>
            <w:tcW w:type="dxa" w:w="1750"/>
            <w:shd w:fill="FFFFFF" w:val="clear"/>
            <w:tcMar>
              <w:top w:type="dxa" w:w="80"/>
              <w:left w:type="dxa" w:w="100"/>
              <w:bottom w:type="dxa" w:w="80"/>
              <w:right w:type="dxa" w:w="100"/>
            </w:tcMar>
          </w:tcPr>
          <w:p>
            <w:pPr>
              <w:spacing w:after="0" w:line="240"/>
            </w:pPr>
            <w:r>
              <w:rPr>
                <w:b/>
                <w:bCs/>
                <w:sz w:val="17"/>
                <w:szCs w:val="17"/>
              </w:rPr>
              <w:t xml:space="preserve">87.6%</w:t>
            </w:r>
            <w:r>
              <w:rPr>
                <w:sz w:val="17"/>
                <w:szCs w:val="17"/>
              </w:rPr>
              <w:t xml:space="preserve"> 2024 (Sensoneo, 2026)</w:t>
            </w:r>
          </w:p>
        </w:tc>
      </w:tr>
      <w:tr>
        <w:tc>
          <w:tcPr>
            <w:tcW w:type="dxa" w:w="1747"/>
            <w:shd w:fill="F5F1E8" w:val="clear"/>
            <w:tcMar>
              <w:top w:type="dxa" w:w="80"/>
              <w:left w:type="dxa" w:w="100"/>
              <w:bottom w:type="dxa" w:w="80"/>
              <w:right w:type="dxa" w:w="100"/>
            </w:tcMar>
          </w:tcPr>
          <w:p>
            <w:pPr>
              <w:spacing w:after="0" w:line="240"/>
            </w:pPr>
            <w:r>
              <w:rPr>
                <w:sz w:val="17"/>
                <w:szCs w:val="17"/>
              </w:rPr>
              <w:t xml:space="preserve">Türkiye</w:t>
            </w:r>
          </w:p>
        </w:tc>
        <w:tc>
          <w:tcPr>
            <w:tcW w:type="dxa" w:w="1747"/>
            <w:shd w:fill="F5F1E8" w:val="clear"/>
            <w:tcMar>
              <w:top w:type="dxa" w:w="80"/>
              <w:left w:type="dxa" w:w="100"/>
              <w:bottom w:type="dxa" w:w="80"/>
              <w:right w:type="dxa" w:w="100"/>
            </w:tcMar>
          </w:tcPr>
          <w:p>
            <w:pPr>
              <w:spacing w:after="0" w:line="240"/>
            </w:pPr>
            <w:r>
              <w:rPr>
                <w:sz w:val="17"/>
                <w:szCs w:val="17"/>
              </w:rPr>
              <w:t xml:space="preserve">2026</w:t>
            </w:r>
          </w:p>
        </w:tc>
        <w:tc>
          <w:tcPr>
            <w:tcW w:type="dxa" w:w="1747"/>
            <w:shd w:fill="F5F1E8" w:val="clear"/>
            <w:tcMar>
              <w:top w:type="dxa" w:w="80"/>
              <w:left w:type="dxa" w:w="100"/>
              <w:bottom w:type="dxa" w:w="80"/>
              <w:right w:type="dxa" w:w="100"/>
            </w:tcMar>
          </w:tcPr>
          <w:p>
            <w:pPr>
              <w:spacing w:after="0" w:line="240"/>
            </w:pPr>
            <w:r>
              <w:rPr>
                <w:sz w:val="17"/>
                <w:szCs w:val="17"/>
              </w:rPr>
              <w:t xml:space="preserve">₺1 (~€0.025) payout</w:t>
            </w:r>
          </w:p>
        </w:tc>
        <w:tc>
          <w:tcPr>
            <w:tcW w:type="dxa" w:w="1747"/>
            <w:shd w:fill="F5F1E8" w:val="clear"/>
            <w:tcMar>
              <w:top w:type="dxa" w:w="80"/>
              <w:left w:type="dxa" w:w="100"/>
              <w:bottom w:type="dxa" w:w="80"/>
              <w:right w:type="dxa" w:w="100"/>
            </w:tcMar>
          </w:tcPr>
          <w:p>
            <w:pPr>
              <w:spacing w:after="0" w:line="240"/>
            </w:pPr>
            <w:r>
              <w:rPr>
                <w:sz w:val="17"/>
                <w:szCs w:val="17"/>
              </w:rPr>
              <w:t xml:space="preserve">PET, metal, glass</w:t>
            </w:r>
          </w:p>
        </w:tc>
        <w:tc>
          <w:tcPr>
            <w:tcW w:type="dxa" w:w="1750"/>
            <w:shd w:fill="F5F1E8" w:val="clear"/>
            <w:tcMar>
              <w:top w:type="dxa" w:w="80"/>
              <w:left w:type="dxa" w:w="100"/>
              <w:bottom w:type="dxa" w:w="80"/>
              <w:right w:type="dxa" w:w="100"/>
            </w:tcMar>
          </w:tcPr>
          <w:p>
            <w:pPr>
              <w:spacing w:after="0" w:line="240"/>
            </w:pPr>
            <w:r>
              <w:rPr>
                <w:sz w:val="17"/>
                <w:szCs w:val="17"/>
              </w:rPr>
              <w:t xml:space="preserve">Launched 1 Jul 2026 - no data yet</w:t>
            </w:r>
          </w:p>
        </w:tc>
      </w:tr>
    </w:tbl>
    <w:p>
      <w:pPr>
        <w:spacing w:after="200"/>
      </w:pPr>
      <w:r>
        <w:rPr>
          <w:sz w:val="8"/>
          <w:szCs w:val="8"/>
        </w:rPr>
        <w:t xml:space="preserve"/>
      </w:r>
    </w:p>
    <w:p>
      <w:pPr>
        <w:spacing w:after="160" w:line="300"/>
        <w:jc w:val="both"/>
      </w:pPr>
      <w:r>
        <w:t xml:space="preserve">Two patterns matter for UAE design. First, </w:t>
      </w:r>
      <w:r>
        <w:rPr>
          <w:b/>
          <w:bCs/>
        </w:rPr>
        <w:t xml:space="preserve">flat deposits of €0.10-0.15 dominate the newest, fastest-ramping systems</w:t>
      </w:r>
      <w:r>
        <w:t xml:space="preserve"> - simplicity wins at launch. Second, the highest mature rates sit where deposits are larger or networks densest; the three levers - deposit, scope, convenience - compound.</w:t>
      </w:r>
    </w:p>
    <w:p>
      <w:pPr>
        <w:pStyle w:val="Heading2"/>
        <w:keepNext/>
        <w:spacing w:after="140" w:before="340"/>
      </w:pPr>
      <w:r>
        <w:rPr>
          <w:rFonts w:ascii="Georgia" w:cs="Georgia" w:eastAsia="Georgia" w:hAnsi="Georgia"/>
          <w:b/>
          <w:bCs/>
          <w:color w:val="1B2A4A"/>
          <w:sz w:val="30"/>
          <w:szCs w:val="30"/>
        </w:rPr>
        <w:t xml:space="preserve">4.2 Deep Dive: Lithuania (USAD) - the Closest Design Template</w:t>
      </w:r>
    </w:p>
    <w:p>
      <w:pPr>
        <w:spacing w:after="160" w:line="300"/>
        <w:jc w:val="both"/>
      </w:pPr>
      <w:r>
        <w:t xml:space="preserve">Lithuania is the benchmark most frequently cited to the UAE team for one reason: it is the </w:t>
      </w:r>
      <w:r>
        <w:rPr>
          <w:b/>
          <w:bCs/>
        </w:rPr>
        <w:t xml:space="preserve">cleanest documented example of a national, day-one, three-material DRS built from nothing in under two years</w:t>
      </w:r>
      <w:r>
        <w:t xml:space="preserve"> - and its governance and financing architecture is the reference design for the system proposed in this study. The European benchmark operations photographed and filmed for this engagement are from this system.</w:t>
      </w:r>
    </w:p>
    <w:p>
      <w:pPr>
        <w:spacing w:after="160" w:line="300"/>
        <w:jc w:val="both"/>
      </w:pPr>
      <w:r>
        <w:rPr>
          <w:b/>
          <w:bCs/>
        </w:rPr>
        <w:t xml:space="preserve">Speed of execution.</w:t>
      </w:r>
      <w:r>
        <w:t xml:space="preserve"> The Law on Packaging and Packaging Waste Management was enacted in May 2014; the operator was appointed that August; and the full national system - return infrastructure at shops, RVMs, counting centres - launched on </w:t>
      </w:r>
      <w:r>
        <w:rPr>
          <w:b/>
          <w:bCs/>
        </w:rPr>
        <w:t xml:space="preserve">1 February 2016</w:t>
      </w:r>
      <w:r>
        <w:t xml:space="preserve">, roughly 18 months after the political decision. As USAD Director General Gintaras Varnas put it: </w:t>
      </w:r>
      <w:r>
        <w:rPr>
          <w:i/>
          <w:iCs/>
        </w:rPr>
        <w:t xml:space="preserve">"All of the collection infrastructure at shops, including RVMs at retailers, was ready, as well as the counting centres"</w:t>
      </w:r>
      <w:r>
        <w:t xml:space="preserve"> (USAD, 2019).</w:t>
      </w:r>
    </w:p>
    <w:p>
      <w:pPr>
        <w:spacing w:after="160" w:line="300"/>
        <w:jc w:val="both"/>
      </w:pPr>
      <w:r>
        <w:rPr>
          <w:b/>
          <w:bCs/>
        </w:rPr>
        <w:t xml:space="preserve">Deliberate, proven scope.</w:t>
      </w:r>
      <w:r>
        <w:t xml:space="preserve"> Lithuania did not innovate on scope - it copied Estonia's. </w:t>
      </w:r>
      <w:r>
        <w:rPr>
          <w:i/>
          <w:iCs/>
        </w:rPr>
        <w:t xml:space="preserve">"We didn't want to reinvent the wheel. We wanted to implement something that we knew would work 100%"</w:t>
      </w:r>
      <w:r>
        <w:t xml:space="preserve"> (USAD, 2019). Scope: PET, metal (aluminium and steel), one-way and refillable glass, 0.1-3 L, across beer, cider, water, soft drinks, juices and nectars - essentially the scope proposed for the UAE.</w:t>
      </w:r>
    </w:p>
    <w:p>
      <w:pPr>
        <w:spacing w:after="160" w:line="300"/>
        <w:jc w:val="both"/>
      </w:pPr>
      <w:r>
        <w:rPr>
          <w:b/>
          <w:bCs/>
        </w:rPr>
        <w:t xml:space="preserve">Results.</w:t>
      </w:r>
      <w:r>
        <w:t xml:space="preserve"> Pre-DRS, Lithuania's PET recycling rate was below 33% (2015). The system reported 74% in its first year (2016 - depressed by pipeline-fill effects, with the real rate estimated above 90%), reached </w:t>
      </w:r>
      <w:r>
        <w:rPr>
          <w:b/>
          <w:bCs/>
        </w:rPr>
        <w:t xml:space="preserve">92% from 2017</w:t>
      </w:r>
      <w:r>
        <w:t xml:space="preserve">, and recorded </w:t>
      </w:r>
      <w:r>
        <w:rPr>
          <w:b/>
          <w:bCs/>
        </w:rPr>
        <w:t xml:space="preserve">92.3% in 2023</w:t>
      </w:r>
      <w:r>
        <w:t xml:space="preserve"> (PET 91.2%, aluminium 94.1%, steel 93.9%, glass 88.8%) (USAD, 2019; Reloop GDB, 2024). It has held ~90% since - roughly 600 million containers placed on market annually, with 1.5 billion containers (56,000 tonnes) returned in the first three years alone (USAD, 2019).</w:t>
      </w:r>
    </w:p>
    <w:p>
      <w:pPr>
        <w:spacing w:after="160" w:line="300"/>
        <w:jc w:val="both"/>
      </w:pPr>
      <w:r>
        <w:rPr>
          <w:b/>
          <w:bCs/>
        </w:rPr>
        <w:t xml:space="preserve">The deposit decision.</w:t>
      </w:r>
      <w:r>
        <w:t xml:space="preserve"> A </w:t>
      </w:r>
      <w:r>
        <w:rPr>
          <w:b/>
          <w:bCs/>
        </w:rPr>
        <w:t xml:space="preserve">flat €0.10</w:t>
      </w:r>
      <w:r>
        <w:t xml:space="preserve">, unchanged since 2016. Varnas's rationale is a design principle this study adopts directly: the deposit </w:t>
      </w:r>
      <w:r>
        <w:rPr>
          <w:i/>
          <w:iCs/>
        </w:rPr>
        <w:t xml:space="preserve">"needs to be motivating enough… but you don't want to set it too high because you want to minimize fraud. It's all about finding the right balance"</w:t>
      </w:r>
      <w:r>
        <w:t xml:space="preserve"> (USAD, 2019). (Note: €0.10 has lost over 20% of its real value to inflation since 2016; several systems have since raised or indexed deposits - relevant to the UAE's year-2 review clause.)</w:t>
      </w:r>
    </w:p>
    <w:p>
      <w:pPr>
        <w:spacing w:after="160" w:line="300"/>
        <w:jc w:val="both"/>
      </w:pPr>
      <w:r>
        <w:rPr>
          <w:b/>
          <w:bCs/>
        </w:rPr>
        <w:t xml:space="preserve">Governance.</w:t>
      </w:r>
      <w:r>
        <w:t xml:space="preserve"> USAD is a </w:t>
      </w:r>
      <w:r>
        <w:rPr>
          <w:b/>
          <w:bCs/>
        </w:rPr>
        <w:t xml:space="preserve">private, not-for-profit producer responsibility organisation (PRO)</w:t>
      </w:r>
      <w:r>
        <w:t xml:space="preserve"> founded by the brewers' association (~60% of packaged beverage volume), the retailers' association and the natural mineral water manufacturers - together representing </w:t>
      </w:r>
      <w:r>
        <w:rPr>
          <w:b/>
          <w:bCs/>
        </w:rPr>
        <w:t xml:space="preserve">&gt;80% of containers sold</w:t>
      </w:r>
      <w:r>
        <w:t xml:space="preserve">. Centralised clearing, barcode-based registration, one counting centre for the whole country (USAD, 2019; Reloop GDB, 2024).</w:t>
      </w:r>
    </w:p>
    <w:p>
      <w:pPr>
        <w:spacing w:after="160" w:line="300"/>
        <w:jc w:val="both"/>
      </w:pPr>
      <w:r>
        <w:rPr>
          <w:b/>
          <w:bCs/>
        </w:rPr>
        <w:t xml:space="preserve">Financing mix - the reference architecture:</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1747"/>
        <w:gridCol w:w="1747"/>
        <w:gridCol w:w="1747"/>
        <w:gridCol w:w="1747"/>
        <w:gridCol w:w="1750"/>
      </w:tblGrid>
      <w:tr>
        <w:trPr>
          <w:tblHeader/>
        </w:trPr>
        <w:tc>
          <w:tcPr>
            <w:tcW w:type="dxa" w:w="1747"/>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Stream</w:t>
            </w:r>
          </w:p>
        </w:tc>
        <w:tc>
          <w:tcPr>
            <w:tcW w:type="dxa" w:w="1747"/>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Share of revenue</w:t>
            </w:r>
          </w:p>
        </w:tc>
        <w:tc>
          <w:tcPr>
            <w:tcW w:type="dxa" w:w="1747"/>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
            </w:r>
          </w:p>
        </w:tc>
        <w:tc>
          <w:tcPr>
            <w:tcW w:type="dxa" w:w="1747"/>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Stream</w:t>
            </w:r>
          </w:p>
        </w:tc>
        <w:tc>
          <w:tcPr>
            <w:tcW w:type="dxa" w:w="1750"/>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Share of costs</w:t>
            </w:r>
          </w:p>
        </w:tc>
      </w:tr>
      <w:tr>
        <w:tc>
          <w:tcPr>
            <w:tcW w:type="dxa" w:w="1747"/>
            <w:shd w:fill="FFFFFF" w:val="clear"/>
            <w:tcMar>
              <w:top w:type="dxa" w:w="80"/>
              <w:left w:type="dxa" w:w="100"/>
              <w:bottom w:type="dxa" w:w="80"/>
              <w:right w:type="dxa" w:w="100"/>
            </w:tcMar>
          </w:tcPr>
          <w:p>
            <w:pPr>
              <w:spacing w:after="0" w:line="240"/>
            </w:pPr>
            <w:r>
              <w:rPr>
                <w:sz w:val="17"/>
                <w:szCs w:val="17"/>
              </w:rPr>
              <w:t xml:space="preserve">Producer fees</w:t>
            </w:r>
          </w:p>
        </w:tc>
        <w:tc>
          <w:tcPr>
            <w:tcW w:type="dxa" w:w="1747"/>
            <w:shd w:fill="FFFFFF" w:val="clear"/>
            <w:tcMar>
              <w:top w:type="dxa" w:w="80"/>
              <w:left w:type="dxa" w:w="100"/>
              <w:bottom w:type="dxa" w:w="80"/>
              <w:right w:type="dxa" w:w="100"/>
            </w:tcMar>
          </w:tcPr>
          <w:p>
            <w:pPr>
              <w:spacing w:after="0" w:line="240"/>
            </w:pPr>
            <w:r>
              <w:rPr>
                <w:b/>
                <w:bCs/>
                <w:sz w:val="17"/>
                <w:szCs w:val="17"/>
              </w:rPr>
              <w:t xml:space="preserve">53%</w:t>
            </w:r>
          </w:p>
        </w:tc>
        <w:tc>
          <w:tcPr>
            <w:tcW w:type="dxa" w:w="1747"/>
            <w:shd w:fill="FFFFFF" w:val="clear"/>
            <w:tcMar>
              <w:top w:type="dxa" w:w="80"/>
              <w:left w:type="dxa" w:w="100"/>
              <w:bottom w:type="dxa" w:w="80"/>
              <w:right w:type="dxa" w:w="100"/>
            </w:tcMar>
          </w:tcPr>
          <w:p>
            <w:pPr>
              <w:spacing w:after="0" w:line="240"/>
            </w:pPr>
            <w:r>
              <w:rPr>
                <w:sz w:val="17"/>
                <w:szCs w:val="17"/>
              </w:rPr>
              <w:t xml:space="preserve"/>
            </w:r>
          </w:p>
        </w:tc>
        <w:tc>
          <w:tcPr>
            <w:tcW w:type="dxa" w:w="1747"/>
            <w:shd w:fill="FFFFFF" w:val="clear"/>
            <w:tcMar>
              <w:top w:type="dxa" w:w="80"/>
              <w:left w:type="dxa" w:w="100"/>
              <w:bottom w:type="dxa" w:w="80"/>
              <w:right w:type="dxa" w:w="100"/>
            </w:tcMar>
          </w:tcPr>
          <w:p>
            <w:pPr>
              <w:spacing w:after="0" w:line="240"/>
            </w:pPr>
            <w:r>
              <w:rPr>
                <w:sz w:val="17"/>
                <w:szCs w:val="17"/>
              </w:rPr>
              <w:t xml:space="preserve">Retailer &amp; RVM compensation</w:t>
            </w:r>
          </w:p>
        </w:tc>
        <w:tc>
          <w:tcPr>
            <w:tcW w:type="dxa" w:w="1750"/>
            <w:shd w:fill="FFFFFF" w:val="clear"/>
            <w:tcMar>
              <w:top w:type="dxa" w:w="80"/>
              <w:left w:type="dxa" w:w="100"/>
              <w:bottom w:type="dxa" w:w="80"/>
              <w:right w:type="dxa" w:w="100"/>
            </w:tcMar>
          </w:tcPr>
          <w:p>
            <w:pPr>
              <w:spacing w:after="0" w:line="240"/>
            </w:pPr>
            <w:r>
              <w:rPr>
                <w:b/>
                <w:bCs/>
                <w:sz w:val="17"/>
                <w:szCs w:val="17"/>
              </w:rPr>
              <w:t xml:space="preserve">74%</w:t>
            </w:r>
          </w:p>
        </w:tc>
      </w:tr>
      <w:tr>
        <w:tc>
          <w:tcPr>
            <w:tcW w:type="dxa" w:w="1747"/>
            <w:shd w:fill="F5F1E8" w:val="clear"/>
            <w:tcMar>
              <w:top w:type="dxa" w:w="80"/>
              <w:left w:type="dxa" w:w="100"/>
              <w:bottom w:type="dxa" w:w="80"/>
              <w:right w:type="dxa" w:w="100"/>
            </w:tcMar>
          </w:tcPr>
          <w:p>
            <w:pPr>
              <w:spacing w:after="0" w:line="240"/>
            </w:pPr>
            <w:r>
              <w:rPr>
                <w:sz w:val="17"/>
                <w:szCs w:val="17"/>
              </w:rPr>
              <w:t xml:space="preserve">Material sales</w:t>
            </w:r>
          </w:p>
        </w:tc>
        <w:tc>
          <w:tcPr>
            <w:tcW w:type="dxa" w:w="1747"/>
            <w:shd w:fill="F5F1E8" w:val="clear"/>
            <w:tcMar>
              <w:top w:type="dxa" w:w="80"/>
              <w:left w:type="dxa" w:w="100"/>
              <w:bottom w:type="dxa" w:w="80"/>
              <w:right w:type="dxa" w:w="100"/>
            </w:tcMar>
          </w:tcPr>
          <w:p>
            <w:pPr>
              <w:spacing w:after="0" w:line="240"/>
            </w:pPr>
            <w:r>
              <w:rPr>
                <w:b/>
                <w:bCs/>
                <w:sz w:val="17"/>
                <w:szCs w:val="17"/>
              </w:rPr>
              <w:t xml:space="preserve">30%</w:t>
            </w:r>
          </w:p>
        </w:tc>
        <w:tc>
          <w:tcPr>
            <w:tcW w:type="dxa" w:w="1747"/>
            <w:shd w:fill="F5F1E8" w:val="clear"/>
            <w:tcMar>
              <w:top w:type="dxa" w:w="80"/>
              <w:left w:type="dxa" w:w="100"/>
              <w:bottom w:type="dxa" w:w="80"/>
              <w:right w:type="dxa" w:w="100"/>
            </w:tcMar>
          </w:tcPr>
          <w:p>
            <w:pPr>
              <w:spacing w:after="0" w:line="240"/>
            </w:pPr>
            <w:r>
              <w:rPr>
                <w:sz w:val="17"/>
                <w:szCs w:val="17"/>
              </w:rPr>
              <w:t xml:space="preserve"/>
            </w:r>
          </w:p>
        </w:tc>
        <w:tc>
          <w:tcPr>
            <w:tcW w:type="dxa" w:w="1747"/>
            <w:shd w:fill="F5F1E8" w:val="clear"/>
            <w:tcMar>
              <w:top w:type="dxa" w:w="80"/>
              <w:left w:type="dxa" w:w="100"/>
              <w:bottom w:type="dxa" w:w="80"/>
              <w:right w:type="dxa" w:w="100"/>
            </w:tcMar>
          </w:tcPr>
          <w:p>
            <w:pPr>
              <w:spacing w:after="0" w:line="240"/>
            </w:pPr>
            <w:r>
              <w:rPr>
                <w:sz w:val="17"/>
                <w:szCs w:val="17"/>
              </w:rPr>
              <w:t xml:space="preserve">Logistics &amp; materials</w:t>
            </w:r>
          </w:p>
        </w:tc>
        <w:tc>
          <w:tcPr>
            <w:tcW w:type="dxa" w:w="1750"/>
            <w:shd w:fill="F5F1E8" w:val="clear"/>
            <w:tcMar>
              <w:top w:type="dxa" w:w="80"/>
              <w:left w:type="dxa" w:w="100"/>
              <w:bottom w:type="dxa" w:w="80"/>
              <w:right w:type="dxa" w:w="100"/>
            </w:tcMar>
          </w:tcPr>
          <w:p>
            <w:pPr>
              <w:spacing w:after="0" w:line="240"/>
            </w:pPr>
            <w:r>
              <w:rPr>
                <w:b/>
                <w:bCs/>
                <w:sz w:val="17"/>
                <w:szCs w:val="17"/>
              </w:rPr>
              <w:t xml:space="preserve">12%</w:t>
            </w:r>
          </w:p>
        </w:tc>
      </w:tr>
      <w:tr>
        <w:tc>
          <w:tcPr>
            <w:tcW w:type="dxa" w:w="1747"/>
            <w:shd w:fill="FFFFFF" w:val="clear"/>
            <w:tcMar>
              <w:top w:type="dxa" w:w="80"/>
              <w:left w:type="dxa" w:w="100"/>
              <w:bottom w:type="dxa" w:w="80"/>
              <w:right w:type="dxa" w:w="100"/>
            </w:tcMar>
          </w:tcPr>
          <w:p>
            <w:pPr>
              <w:spacing w:after="0" w:line="240"/>
            </w:pPr>
            <w:r>
              <w:rPr>
                <w:sz w:val="17"/>
                <w:szCs w:val="17"/>
              </w:rPr>
              <w:t xml:space="preserve">Unredeemed deposits</w:t>
            </w:r>
          </w:p>
        </w:tc>
        <w:tc>
          <w:tcPr>
            <w:tcW w:type="dxa" w:w="1747"/>
            <w:shd w:fill="FFFFFF" w:val="clear"/>
            <w:tcMar>
              <w:top w:type="dxa" w:w="80"/>
              <w:left w:type="dxa" w:w="100"/>
              <w:bottom w:type="dxa" w:w="80"/>
              <w:right w:type="dxa" w:w="100"/>
            </w:tcMar>
          </w:tcPr>
          <w:p>
            <w:pPr>
              <w:spacing w:after="0" w:line="240"/>
            </w:pPr>
            <w:r>
              <w:rPr>
                <w:b/>
                <w:bCs/>
                <w:sz w:val="17"/>
                <w:szCs w:val="17"/>
              </w:rPr>
              <w:t xml:space="preserve">17%</w:t>
            </w:r>
          </w:p>
        </w:tc>
        <w:tc>
          <w:tcPr>
            <w:tcW w:type="dxa" w:w="1747"/>
            <w:shd w:fill="FFFFFF" w:val="clear"/>
            <w:tcMar>
              <w:top w:type="dxa" w:w="80"/>
              <w:left w:type="dxa" w:w="100"/>
              <w:bottom w:type="dxa" w:w="80"/>
              <w:right w:type="dxa" w:w="100"/>
            </w:tcMar>
          </w:tcPr>
          <w:p>
            <w:pPr>
              <w:spacing w:after="0" w:line="240"/>
            </w:pPr>
            <w:r>
              <w:rPr>
                <w:sz w:val="17"/>
                <w:szCs w:val="17"/>
              </w:rPr>
              <w:t xml:space="preserve"/>
            </w:r>
          </w:p>
        </w:tc>
        <w:tc>
          <w:tcPr>
            <w:tcW w:type="dxa" w:w="1747"/>
            <w:shd w:fill="FFFFFF" w:val="clear"/>
            <w:tcMar>
              <w:top w:type="dxa" w:w="80"/>
              <w:left w:type="dxa" w:w="100"/>
              <w:bottom w:type="dxa" w:w="80"/>
              <w:right w:type="dxa" w:w="100"/>
            </w:tcMar>
          </w:tcPr>
          <w:p>
            <w:pPr>
              <w:spacing w:after="0" w:line="240"/>
            </w:pPr>
            <w:r>
              <w:rPr>
                <w:sz w:val="17"/>
                <w:szCs w:val="17"/>
              </w:rPr>
              <w:t xml:space="preserve">Administration &amp; operations</w:t>
            </w:r>
          </w:p>
        </w:tc>
        <w:tc>
          <w:tcPr>
            <w:tcW w:type="dxa" w:w="1750"/>
            <w:shd w:fill="FFFFFF" w:val="clear"/>
            <w:tcMar>
              <w:top w:type="dxa" w:w="80"/>
              <w:left w:type="dxa" w:w="100"/>
              <w:bottom w:type="dxa" w:w="80"/>
              <w:right w:type="dxa" w:w="100"/>
            </w:tcMar>
          </w:tcPr>
          <w:p>
            <w:pPr>
              <w:spacing w:after="0" w:line="240"/>
            </w:pPr>
            <w:r>
              <w:rPr>
                <w:b/>
                <w:bCs/>
                <w:sz w:val="17"/>
                <w:szCs w:val="17"/>
              </w:rPr>
              <w:t xml:space="preserve">14%</w:t>
            </w:r>
          </w:p>
        </w:tc>
      </w:tr>
    </w:tbl>
    <w:p>
      <w:pPr>
        <w:spacing w:after="200"/>
      </w:pPr>
      <w:r>
        <w:rPr>
          <w:sz w:val="8"/>
          <w:szCs w:val="8"/>
        </w:rPr>
        <w:t xml:space="preserve"/>
      </w:r>
    </w:p>
    <w:p>
      <w:pPr>
        <w:spacing w:after="160" w:line="300"/>
        <w:jc w:val="both"/>
      </w:pPr>
      <w:r>
        <w:t xml:space="preserve">(Source: USAD, 2019. Absolute annual € totals are not published - [DATA GAP: Lithuania total system cost in €/year].)</w:t>
      </w:r>
    </w:p>
    <w:p>
      <w:pPr>
        <w:spacing w:after="160" w:line="300"/>
        <w:jc w:val="both"/>
      </w:pPr>
      <w:r>
        <w:t xml:space="preserve">The UAE design deliberately mirrors this mix with one principled deviation: the ~17% unredeemed-deposit share is </w:t>
      </w:r>
      <w:r>
        <w:rPr>
          <w:b/>
          <w:bCs/>
        </w:rPr>
        <w:t xml:space="preserve">replaced by producer fees</w:t>
      </w:r>
      <w:r>
        <w:t xml:space="preserve">, because under the Segen model unredeemed deposits are never operator revenue - they accrue to a transparent escrowed system reserve. The steady-state UAE revenue mix therefore targets </w:t>
      </w:r>
      <w:r>
        <w:rPr>
          <w:b/>
          <w:bCs/>
        </w:rPr>
        <w:t xml:space="preserve">~70% producer fees / ~30% material sales</w:t>
      </w:r>
      <w:r>
        <w:t xml:space="preserve"> (see Chapter 10). Producer fee benchmarks (2024): Lithuania PET €0.044, aluminium €0.019, glass €0.055 - the direct anchors for the recommended UAE fees of </w:t>
      </w:r>
      <w:r>
        <w:rPr>
          <w:b/>
          <w:bCs/>
        </w:rPr>
        <w:t xml:space="preserve">AED 0.20 / 0.08 / 0.24</w:t>
      </w:r>
      <w:r>
        <w:t xml:space="preserve"> for PET, aluminium and glass respectively (Reloop GDB, 2024).</w:t>
      </w:r>
    </w:p>
    <w:p>
      <w:pPr>
        <w:spacing w:after="160" w:line="300"/>
        <w:jc w:val="both"/>
      </w:pPr>
      <w:r>
        <w:rPr>
          <w:b/>
          <w:bCs/>
        </w:rPr>
        <w:t xml:space="preserve">Network.</w:t>
      </w:r>
      <w:r>
        <w:t xml:space="preserve"> Return-to-retail: any retailer selling in-scope drinks must accept all brands, with small-format exemptions. The result: </w:t>
      </w:r>
      <w:r>
        <w:rPr>
          <w:b/>
          <w:bCs/>
        </w:rPr>
        <w:t xml:space="preserve">2,600 retail + 700 HoReCa points, ~1,110 people per return point, 91% automated</w:t>
      </w:r>
      <w:r>
        <w:t xml:space="preserve"> - built in under a year. Refunds by cash, voucher or charity donation (Reloop GDB, 2024).</w:t>
      </w:r>
    </w:p>
    <w:p>
      <w:pPr>
        <w:spacing w:after="160" w:line="300"/>
        <w:jc w:val="both"/>
      </w:pPr>
      <w:r>
        <w:rPr>
          <w:b/>
          <w:bCs/>
        </w:rPr>
        <w:t xml:space="preserve">Public acceptance - the decisive evidence.</w:t>
      </w:r>
      <w:r>
        <w:t xml:space="preserve"> A 2018 consumer survey found </w:t>
      </w:r>
      <w:r>
        <w:rPr>
          <w:b/>
          <w:bCs/>
        </w:rPr>
        <w:t xml:space="preserve">97% of Lithuanians believed introducing the DRS was the right decision</w:t>
      </w:r>
      <w:r>
        <w:t xml:space="preserve">; 97% were satisfied with its convenience; </w:t>
      </w:r>
      <w:r>
        <w:rPr>
          <w:b/>
          <w:bCs/>
        </w:rPr>
        <w:t xml:space="preserve">90% saw visibly less litter</w:t>
      </w:r>
      <w:r>
        <w:t xml:space="preserve">; and 93% reported the DRS made them sort </w:t>
      </w:r>
      <w:r>
        <w:rPr>
          <w:b/>
          <w:bCs/>
        </w:rPr>
        <w:t xml:space="preserve">all</w:t>
      </w:r>
      <w:r>
        <w:t xml:space="preserve"> their waste more responsibly - directly rebutting the claim that deposit systems cannibalise kerbside behaviour. Notably, 14% would accept a </w:t>
      </w:r>
      <w:r>
        <w:rPr>
          <w:i/>
          <w:iCs/>
        </w:rPr>
        <w:t xml:space="preserve">higher</w:t>
      </w:r>
      <w:r>
        <w:t xml:space="preserve"> deposit (USAD, 2019).</w:t>
      </w:r>
    </w:p>
    <w:p>
      <w:pPr>
        <w:spacing w:after="160" w:line="300"/>
        <w:jc w:val="both"/>
      </w:pPr>
      <w:r>
        <w:rPr>
          <w:b/>
          <w:bCs/>
        </w:rPr>
        <w:t xml:space="preserve">Material quality.</w:t>
      </w:r>
      <w:r>
        <w:t xml:space="preserve"> The DRS stream is "very pure, not contaminated" and commands premium prices - a Lithuanian glass factory reported it had "never in their history seen such high quality glass," and global aluminium recyclers compete for USAD material (USAD, 2019). This quality premium underpins the material-revenue assumptions in Chapter 10.</w:t>
      </w:r>
    </w:p>
    <w:p>
      <w:pPr>
        <w:pBdr>
          <w:left w:val="single" w:color="C9A227" w:sz="18"/>
        </w:pBdr>
        <w:shd w:fill="F5F1E8" w:val="clear"/>
        <w:spacing w:after="100" w:before="60" w:line="280"/>
        <w:ind w:left="260" w:right="260"/>
      </w:pPr>
      <w:r>
        <w:rPr>
          <w:b/>
          <w:bCs/>
          <w:color w:val="1B2A4A"/>
          <w:sz w:val="20"/>
          <w:szCs w:val="20"/>
        </w:rPr>
        <w:t xml:space="preserve">"We didn't want to reinvent the wheel. We wanted to implement something that we knew would work 100%."</w:t>
      </w:r>
    </w:p>
    <w:p>
      <w:pPr>
        <w:pBdr>
          <w:left w:val="single" w:color="C9A227" w:sz="18"/>
        </w:pBdr>
        <w:shd w:fill="F5F1E8" w:val="clear"/>
        <w:spacing w:after="100" w:before="60" w:line="280"/>
        <w:ind w:left="260" w:right="260"/>
      </w:pPr>
      <w:r>
        <w:rPr>
          <w:color w:val="1B2A4A"/>
          <w:sz w:val="20"/>
          <w:szCs w:val="20"/>
        </w:rPr>
        <w:t xml:space="preserve">- Gintaras Varnas, Director General, USAD (2019)</w:t>
      </w:r>
    </w:p>
    <w:p>
      <w:pPr>
        <w:spacing w:after="120"/>
      </w:pPr>
      <w:r>
        <w:rPr>
          <w:sz w:val="8"/>
          <w:szCs w:val="8"/>
        </w:rPr>
        <w:t xml:space="preserve"/>
      </w:r>
    </w:p>
    <w:p>
      <w:pPr>
        <w:spacing w:after="40" w:before="200"/>
        <w:jc w:val="center"/>
      </w:pPr>
      <w:r>
        <w:drawing>
          <wp:inline distT="0" distB="0" distL="0" distR="0">
            <wp:extent cx="5524500" cy="3457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524500" cy="3457575"/>
                    </a:xfrm>
                    <a:prstGeom prst="rect">
                      <a:avLst/>
                    </a:prstGeom>
                  </pic:spPr>
                </pic:pic>
              </a:graphicData>
            </a:graphic>
          </wp:inline>
        </w:drawing>
      </w:r>
    </w:p>
    <w:p>
      <w:pPr>
        <w:spacing w:after="240" w:before="40"/>
        <w:jc w:val="center"/>
      </w:pPr>
      <w:r>
        <w:rPr>
          <w:rFonts w:ascii="Calibri" w:cs="Calibri" w:eastAsia="Calibri" w:hAnsi="Calibri"/>
          <w:i/>
          <w:iCs/>
          <w:color w:val="4A6580"/>
          <w:sz w:val="17"/>
          <w:szCs w:val="17"/>
        </w:rPr>
        <w:t xml:space="preserve">Lithuania (USAD) - from below 33% (2015) to 92.3% (2023): the fastest proven design template (USAD 2019; Reloop GDB 2024).</w:t>
      </w:r>
    </w:p>
    <w:p>
      <w:pPr>
        <w:pStyle w:val="Heading2"/>
        <w:keepNext/>
        <w:spacing w:after="140" w:before="340"/>
      </w:pPr>
      <w:r>
        <w:rPr>
          <w:rFonts w:ascii="Georgia" w:cs="Georgia" w:eastAsia="Georgia" w:hAnsi="Georgia"/>
          <w:b/>
          <w:bCs/>
          <w:color w:val="1B2A4A"/>
          <w:sz w:val="30"/>
          <w:szCs w:val="30"/>
        </w:rPr>
        <w:t xml:space="preserve">4.3 The Newest Wave: Proof That 80-90% Is Achievable Within 24 Months</w:t>
      </w:r>
    </w:p>
    <w:p>
      <w:pPr>
        <w:spacing w:after="160" w:line="300"/>
        <w:jc w:val="both"/>
      </w:pPr>
      <w:r>
        <w:t xml:space="preserve">The systems launched since 2022 are the most instructive for the UAE, because they show what a well-designed launch achieves </w:t>
      </w:r>
      <w:r>
        <w:rPr>
          <w:b/>
          <w:bCs/>
        </w:rPr>
        <w:t xml:space="preserve">immediately</w:t>
      </w:r>
      <w:r>
        <w:t xml:space="preserve">, in markets with no deposit culture.</w:t>
      </w:r>
    </w:p>
    <w:p>
      <w:pPr>
        <w:keepNext/>
        <w:spacing w:after="80" w:before="280"/>
      </w:pPr>
      <w:r>
        <w:rPr>
          <w:rFonts w:ascii="Georgia" w:cs="Georgia" w:eastAsia="Georgia" w:hAnsi="Georgia"/>
          <w:b/>
          <w:bCs/>
          <w:color w:val="1B2A4A"/>
          <w:sz w:val="20"/>
          <w:szCs w:val="20"/>
        </w:rPr>
        <w:t xml:space="preserve">Table 4.2 - Launch ramp-ups: the newest systems</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1747"/>
        <w:gridCol w:w="1747"/>
        <w:gridCol w:w="1747"/>
        <w:gridCol w:w="1747"/>
        <w:gridCol w:w="1750"/>
      </w:tblGrid>
      <w:tr>
        <w:trPr>
          <w:tblHeader/>
        </w:trPr>
        <w:tc>
          <w:tcPr>
            <w:tcW w:type="dxa" w:w="1747"/>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System</w:t>
            </w:r>
          </w:p>
        </w:tc>
        <w:tc>
          <w:tcPr>
            <w:tcW w:type="dxa" w:w="1747"/>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Launch</w:t>
            </w:r>
          </w:p>
        </w:tc>
        <w:tc>
          <w:tcPr>
            <w:tcW w:type="dxa" w:w="1747"/>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Deposit</w:t>
            </w:r>
          </w:p>
        </w:tc>
        <w:tc>
          <w:tcPr>
            <w:tcW w:type="dxa" w:w="1747"/>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Year-1 result</w:t>
            </w:r>
          </w:p>
        </w:tc>
        <w:tc>
          <w:tcPr>
            <w:tcW w:type="dxa" w:w="1750"/>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Year-2+ result</w:t>
            </w:r>
          </w:p>
        </w:tc>
      </w:tr>
      <w:tr>
        <w:tc>
          <w:tcPr>
            <w:tcW w:type="dxa" w:w="1747"/>
            <w:shd w:fill="FFFFFF" w:val="clear"/>
            <w:tcMar>
              <w:top w:type="dxa" w:w="80"/>
              <w:left w:type="dxa" w:w="100"/>
              <w:bottom w:type="dxa" w:w="80"/>
              <w:right w:type="dxa" w:w="100"/>
            </w:tcMar>
          </w:tcPr>
          <w:p>
            <w:pPr>
              <w:spacing w:after="0" w:line="240"/>
            </w:pPr>
            <w:r>
              <w:rPr>
                <w:b/>
                <w:bCs/>
                <w:sz w:val="17"/>
                <w:szCs w:val="17"/>
              </w:rPr>
              <w:t xml:space="preserve">Romania (RetuRO)</w:t>
            </w:r>
          </w:p>
        </w:tc>
        <w:tc>
          <w:tcPr>
            <w:tcW w:type="dxa" w:w="1747"/>
            <w:shd w:fill="FFFFFF" w:val="clear"/>
            <w:tcMar>
              <w:top w:type="dxa" w:w="80"/>
              <w:left w:type="dxa" w:w="100"/>
              <w:bottom w:type="dxa" w:w="80"/>
              <w:right w:type="dxa" w:w="100"/>
            </w:tcMar>
          </w:tcPr>
          <w:p>
            <w:pPr>
              <w:spacing w:after="0" w:line="240"/>
            </w:pPr>
            <w:r>
              <w:rPr>
                <w:sz w:val="17"/>
                <w:szCs w:val="17"/>
              </w:rPr>
              <w:t xml:space="preserve">Nov 2023</w:t>
            </w:r>
          </w:p>
        </w:tc>
        <w:tc>
          <w:tcPr>
            <w:tcW w:type="dxa" w:w="1747"/>
            <w:shd w:fill="FFFFFF" w:val="clear"/>
            <w:tcMar>
              <w:top w:type="dxa" w:w="80"/>
              <w:left w:type="dxa" w:w="100"/>
              <w:bottom w:type="dxa" w:w="80"/>
              <w:right w:type="dxa" w:w="100"/>
            </w:tcMar>
          </w:tcPr>
          <w:p>
            <w:pPr>
              <w:spacing w:after="0" w:line="240"/>
            </w:pPr>
            <w:r>
              <w:rPr>
                <w:sz w:val="17"/>
                <w:szCs w:val="17"/>
              </w:rPr>
              <w:t xml:space="preserve">Flat €0.10</w:t>
            </w:r>
          </w:p>
        </w:tc>
        <w:tc>
          <w:tcPr>
            <w:tcW w:type="dxa" w:w="1747"/>
            <w:shd w:fill="FFFFFF" w:val="clear"/>
            <w:tcMar>
              <w:top w:type="dxa" w:w="80"/>
              <w:left w:type="dxa" w:w="100"/>
              <w:bottom w:type="dxa" w:w="80"/>
              <w:right w:type="dxa" w:w="100"/>
            </w:tcMar>
          </w:tcPr>
          <w:p>
            <w:pPr>
              <w:spacing w:after="0" w:line="240"/>
            </w:pPr>
            <w:r>
              <w:rPr>
                <w:sz w:val="17"/>
                <w:szCs w:val="17"/>
              </w:rPr>
              <w:t xml:space="preserve">84% monthly rate by month 11 (Plastech, 2024)</w:t>
            </w:r>
          </w:p>
        </w:tc>
        <w:tc>
          <w:tcPr>
            <w:tcW w:type="dxa" w:w="1750"/>
            <w:shd w:fill="FFFFFF" w:val="clear"/>
            <w:tcMar>
              <w:top w:type="dxa" w:w="80"/>
              <w:left w:type="dxa" w:w="100"/>
              <w:bottom w:type="dxa" w:w="80"/>
              <w:right w:type="dxa" w:w="100"/>
            </w:tcMar>
          </w:tcPr>
          <w:p>
            <w:pPr>
              <w:spacing w:after="0" w:line="240"/>
            </w:pPr>
            <w:r>
              <w:rPr>
                <w:b/>
                <w:bCs/>
                <w:sz w:val="17"/>
                <w:szCs w:val="17"/>
              </w:rPr>
              <w:t xml:space="preserve">83% full-year 2025; 5.2bn containers; 387,000 t to recyclers</w:t>
            </w:r>
            <w:r>
              <w:rPr>
                <w:sz w:val="17"/>
                <w:szCs w:val="17"/>
              </w:rPr>
              <w:t xml:space="preserve"> (Romania Insider, 2026)</w:t>
            </w:r>
          </w:p>
        </w:tc>
      </w:tr>
      <w:tr>
        <w:tc>
          <w:tcPr>
            <w:tcW w:type="dxa" w:w="1747"/>
            <w:shd w:fill="F5F1E8" w:val="clear"/>
            <w:tcMar>
              <w:top w:type="dxa" w:w="80"/>
              <w:left w:type="dxa" w:w="100"/>
              <w:bottom w:type="dxa" w:w="80"/>
              <w:right w:type="dxa" w:w="100"/>
            </w:tcMar>
          </w:tcPr>
          <w:p>
            <w:pPr>
              <w:spacing w:after="0" w:line="240"/>
            </w:pPr>
            <w:r>
              <w:rPr>
                <w:b/>
                <w:bCs/>
                <w:sz w:val="17"/>
                <w:szCs w:val="17"/>
              </w:rPr>
              <w:t xml:space="preserve">Hungary (MOHU REpont)</w:t>
            </w:r>
          </w:p>
        </w:tc>
        <w:tc>
          <w:tcPr>
            <w:tcW w:type="dxa" w:w="1747"/>
            <w:shd w:fill="F5F1E8" w:val="clear"/>
            <w:tcMar>
              <w:top w:type="dxa" w:w="80"/>
              <w:left w:type="dxa" w:w="100"/>
              <w:bottom w:type="dxa" w:w="80"/>
              <w:right w:type="dxa" w:w="100"/>
            </w:tcMar>
          </w:tcPr>
          <w:p>
            <w:pPr>
              <w:spacing w:after="0" w:line="240"/>
            </w:pPr>
            <w:r>
              <w:rPr>
                <w:sz w:val="17"/>
                <w:szCs w:val="17"/>
              </w:rPr>
              <w:t xml:space="preserve">Jan 2024</w:t>
            </w:r>
          </w:p>
        </w:tc>
        <w:tc>
          <w:tcPr>
            <w:tcW w:type="dxa" w:w="1747"/>
            <w:shd w:fill="F5F1E8" w:val="clear"/>
            <w:tcMar>
              <w:top w:type="dxa" w:w="80"/>
              <w:left w:type="dxa" w:w="100"/>
              <w:bottom w:type="dxa" w:w="80"/>
              <w:right w:type="dxa" w:w="100"/>
            </w:tcMar>
          </w:tcPr>
          <w:p>
            <w:pPr>
              <w:spacing w:after="0" w:line="240"/>
            </w:pPr>
            <w:r>
              <w:rPr>
                <w:sz w:val="17"/>
                <w:szCs w:val="17"/>
              </w:rPr>
              <w:t xml:space="preserve">Flat HUF 50 (€0.13)</w:t>
            </w:r>
          </w:p>
        </w:tc>
        <w:tc>
          <w:tcPr>
            <w:tcW w:type="dxa" w:w="1747"/>
            <w:shd w:fill="F5F1E8" w:val="clear"/>
            <w:tcMar>
              <w:top w:type="dxa" w:w="80"/>
              <w:left w:type="dxa" w:w="100"/>
              <w:bottom w:type="dxa" w:w="80"/>
              <w:right w:type="dxa" w:w="100"/>
            </w:tcMar>
          </w:tcPr>
          <w:p>
            <w:pPr>
              <w:spacing w:after="0" w:line="240"/>
            </w:pPr>
            <w:r>
              <w:rPr>
                <w:sz w:val="17"/>
                <w:szCs w:val="17"/>
              </w:rPr>
              <w:t xml:space="preserve">500m containers by Oct 2024 (GDB, 2024)</w:t>
            </w:r>
          </w:p>
        </w:tc>
        <w:tc>
          <w:tcPr>
            <w:tcW w:type="dxa" w:w="1750"/>
            <w:shd w:fill="F5F1E8" w:val="clear"/>
            <w:tcMar>
              <w:top w:type="dxa" w:w="80"/>
              <w:left w:type="dxa" w:w="100"/>
              <w:bottom w:type="dxa" w:w="80"/>
              <w:right w:type="dxa" w:w="100"/>
            </w:tcMar>
          </w:tcPr>
          <w:p>
            <w:pPr>
              <w:spacing w:after="0" w:line="240"/>
            </w:pPr>
            <w:r>
              <w:rPr>
                <w:b/>
                <w:bCs/>
                <w:sz w:val="17"/>
                <w:szCs w:val="17"/>
              </w:rPr>
              <w:t xml:space="preserve">88.8% in 2025; &gt;3bn containers</w:t>
            </w:r>
            <w:r>
              <w:rPr>
                <w:sz w:val="17"/>
                <w:szCs w:val="17"/>
              </w:rPr>
              <w:t xml:space="preserve"> - from a ~30% pre-DRS baseline (Diplomacy &amp; Trade, 2026)</w:t>
            </w:r>
          </w:p>
        </w:tc>
      </w:tr>
      <w:tr>
        <w:tc>
          <w:tcPr>
            <w:tcW w:type="dxa" w:w="1747"/>
            <w:shd w:fill="FFFFFF" w:val="clear"/>
            <w:tcMar>
              <w:top w:type="dxa" w:w="80"/>
              <w:left w:type="dxa" w:w="100"/>
              <w:bottom w:type="dxa" w:w="80"/>
              <w:right w:type="dxa" w:w="100"/>
            </w:tcMar>
          </w:tcPr>
          <w:p>
            <w:pPr>
              <w:spacing w:after="0" w:line="240"/>
            </w:pPr>
            <w:r>
              <w:rPr>
                <w:b/>
                <w:bCs/>
                <w:sz w:val="17"/>
                <w:szCs w:val="17"/>
              </w:rPr>
              <w:t xml:space="preserve">Ireland (Re-turn)</w:t>
            </w:r>
          </w:p>
        </w:tc>
        <w:tc>
          <w:tcPr>
            <w:tcW w:type="dxa" w:w="1747"/>
            <w:shd w:fill="FFFFFF" w:val="clear"/>
            <w:tcMar>
              <w:top w:type="dxa" w:w="80"/>
              <w:left w:type="dxa" w:w="100"/>
              <w:bottom w:type="dxa" w:w="80"/>
              <w:right w:type="dxa" w:w="100"/>
            </w:tcMar>
          </w:tcPr>
          <w:p>
            <w:pPr>
              <w:spacing w:after="0" w:line="240"/>
            </w:pPr>
            <w:r>
              <w:rPr>
                <w:sz w:val="17"/>
                <w:szCs w:val="17"/>
              </w:rPr>
              <w:t xml:space="preserve">Feb 2024</w:t>
            </w:r>
          </w:p>
        </w:tc>
        <w:tc>
          <w:tcPr>
            <w:tcW w:type="dxa" w:w="1747"/>
            <w:shd w:fill="FFFFFF" w:val="clear"/>
            <w:tcMar>
              <w:top w:type="dxa" w:w="80"/>
              <w:left w:type="dxa" w:w="100"/>
              <w:bottom w:type="dxa" w:w="80"/>
              <w:right w:type="dxa" w:w="100"/>
            </w:tcMar>
          </w:tcPr>
          <w:p>
            <w:pPr>
              <w:spacing w:after="0" w:line="240"/>
            </w:pPr>
            <w:r>
              <w:rPr>
                <w:sz w:val="17"/>
                <w:szCs w:val="17"/>
              </w:rPr>
              <w:t xml:space="preserve">€0.15/€0.25 by size</w:t>
            </w:r>
          </w:p>
        </w:tc>
        <w:tc>
          <w:tcPr>
            <w:tcW w:type="dxa" w:w="1747"/>
            <w:shd w:fill="FFFFFF" w:val="clear"/>
            <w:tcMar>
              <w:top w:type="dxa" w:w="80"/>
              <w:left w:type="dxa" w:w="100"/>
              <w:bottom w:type="dxa" w:w="80"/>
              <w:right w:type="dxa" w:w="100"/>
            </w:tcMar>
          </w:tcPr>
          <w:p>
            <w:pPr>
              <w:spacing w:after="0" w:line="240"/>
            </w:pPr>
            <w:r>
              <w:rPr>
                <w:sz w:val="17"/>
                <w:szCs w:val="17"/>
              </w:rPr>
              <w:t xml:space="preserve">980m containers; 73% monthly rate by day 200 (Re-turn, 2025; gov.ie, 2024)</w:t>
            </w:r>
          </w:p>
        </w:tc>
        <w:tc>
          <w:tcPr>
            <w:tcW w:type="dxa" w:w="1750"/>
            <w:shd w:fill="FFFFFF" w:val="clear"/>
            <w:tcMar>
              <w:top w:type="dxa" w:w="80"/>
              <w:left w:type="dxa" w:w="100"/>
              <w:bottom w:type="dxa" w:w="80"/>
              <w:right w:type="dxa" w:w="100"/>
            </w:tcMar>
          </w:tcPr>
          <w:p>
            <w:pPr>
              <w:spacing w:after="0" w:line="240"/>
            </w:pPr>
            <w:r>
              <w:rPr>
                <w:b/>
                <w:bCs/>
                <w:sz w:val="17"/>
                <w:szCs w:val="17"/>
              </w:rPr>
              <w:t xml:space="preserve">Recycling rate 49% → 91%; 1.6bn containers by Jul 2025</w:t>
            </w:r>
            <w:r>
              <w:rPr>
                <w:sz w:val="17"/>
                <w:szCs w:val="17"/>
              </w:rPr>
              <w:t xml:space="preserve"> (Oireachtas, 2025)</w:t>
            </w:r>
          </w:p>
        </w:tc>
      </w:tr>
      <w:tr>
        <w:tc>
          <w:tcPr>
            <w:tcW w:type="dxa" w:w="1747"/>
            <w:shd w:fill="F5F1E8" w:val="clear"/>
            <w:tcMar>
              <w:top w:type="dxa" w:w="80"/>
              <w:left w:type="dxa" w:w="100"/>
              <w:bottom w:type="dxa" w:w="80"/>
              <w:right w:type="dxa" w:w="100"/>
            </w:tcMar>
          </w:tcPr>
          <w:p>
            <w:pPr>
              <w:spacing w:after="0" w:line="240"/>
            </w:pPr>
            <w:r>
              <w:rPr>
                <w:b/>
                <w:bCs/>
                <w:sz w:val="17"/>
                <w:szCs w:val="17"/>
              </w:rPr>
              <w:t xml:space="preserve">Austria (EWP)</w:t>
            </w:r>
          </w:p>
        </w:tc>
        <w:tc>
          <w:tcPr>
            <w:tcW w:type="dxa" w:w="1747"/>
            <w:shd w:fill="F5F1E8" w:val="clear"/>
            <w:tcMar>
              <w:top w:type="dxa" w:w="80"/>
              <w:left w:type="dxa" w:w="100"/>
              <w:bottom w:type="dxa" w:w="80"/>
              <w:right w:type="dxa" w:w="100"/>
            </w:tcMar>
          </w:tcPr>
          <w:p>
            <w:pPr>
              <w:spacing w:after="0" w:line="240"/>
            </w:pPr>
            <w:r>
              <w:rPr>
                <w:sz w:val="17"/>
                <w:szCs w:val="17"/>
              </w:rPr>
              <w:t xml:space="preserve">Jan 2025</w:t>
            </w:r>
          </w:p>
        </w:tc>
        <w:tc>
          <w:tcPr>
            <w:tcW w:type="dxa" w:w="1747"/>
            <w:shd w:fill="F5F1E8" w:val="clear"/>
            <w:tcMar>
              <w:top w:type="dxa" w:w="80"/>
              <w:left w:type="dxa" w:w="100"/>
              <w:bottom w:type="dxa" w:w="80"/>
              <w:right w:type="dxa" w:w="100"/>
            </w:tcMar>
          </w:tcPr>
          <w:p>
            <w:pPr>
              <w:spacing w:after="0" w:line="240"/>
            </w:pPr>
            <w:r>
              <w:rPr>
                <w:sz w:val="17"/>
                <w:szCs w:val="17"/>
              </w:rPr>
              <w:t xml:space="preserve">Flat €0.25</w:t>
            </w:r>
          </w:p>
        </w:tc>
        <w:tc>
          <w:tcPr>
            <w:tcW w:type="dxa" w:w="1747"/>
            <w:shd w:fill="F5F1E8" w:val="clear"/>
            <w:tcMar>
              <w:top w:type="dxa" w:w="80"/>
              <w:left w:type="dxa" w:w="100"/>
              <w:bottom w:type="dxa" w:w="80"/>
              <w:right w:type="dxa" w:w="100"/>
            </w:tcMar>
          </w:tcPr>
          <w:p>
            <w:pPr>
              <w:spacing w:after="0" w:line="240"/>
            </w:pPr>
            <w:r>
              <w:rPr>
                <w:b/>
                <w:bCs/>
                <w:sz w:val="17"/>
                <w:szCs w:val="17"/>
              </w:rPr>
              <w:t xml:space="preserve">81.5% in year 1</w:t>
            </w:r>
            <w:r>
              <w:rPr>
                <w:sz w:val="17"/>
                <w:szCs w:val="17"/>
              </w:rPr>
              <w:t xml:space="preserve"> (Sensoneo, 2026)</w:t>
            </w:r>
          </w:p>
        </w:tc>
        <w:tc>
          <w:tcPr>
            <w:tcW w:type="dxa" w:w="1750"/>
            <w:shd w:fill="F5F1E8" w:val="clear"/>
            <w:tcMar>
              <w:top w:type="dxa" w:w="80"/>
              <w:left w:type="dxa" w:w="100"/>
              <w:bottom w:type="dxa" w:w="80"/>
              <w:right w:type="dxa" w:w="100"/>
            </w:tcMar>
          </w:tcPr>
          <w:p>
            <w:pPr>
              <w:spacing w:after="0" w:line="240"/>
            </w:pPr>
            <w:r>
              <w:rPr>
                <w:sz w:val="17"/>
                <w:szCs w:val="17"/>
              </w:rPr>
              <w:t xml:space="preserve">On track to 90% target by 2027</w:t>
            </w:r>
          </w:p>
        </w:tc>
      </w:tr>
      <w:tr>
        <w:tc>
          <w:tcPr>
            <w:tcW w:type="dxa" w:w="1747"/>
            <w:shd w:fill="FFFFFF" w:val="clear"/>
            <w:tcMar>
              <w:top w:type="dxa" w:w="80"/>
              <w:left w:type="dxa" w:w="100"/>
              <w:bottom w:type="dxa" w:w="80"/>
              <w:right w:type="dxa" w:w="100"/>
            </w:tcMar>
          </w:tcPr>
          <w:p>
            <w:pPr>
              <w:spacing w:after="0" w:line="240"/>
            </w:pPr>
            <w:r>
              <w:rPr>
                <w:b/>
                <w:bCs/>
                <w:sz w:val="17"/>
                <w:szCs w:val="17"/>
              </w:rPr>
              <w:t xml:space="preserve">Malta (BCRS)</w:t>
            </w:r>
          </w:p>
        </w:tc>
        <w:tc>
          <w:tcPr>
            <w:tcW w:type="dxa" w:w="1747"/>
            <w:shd w:fill="FFFFFF" w:val="clear"/>
            <w:tcMar>
              <w:top w:type="dxa" w:w="80"/>
              <w:left w:type="dxa" w:w="100"/>
              <w:bottom w:type="dxa" w:w="80"/>
              <w:right w:type="dxa" w:w="100"/>
            </w:tcMar>
          </w:tcPr>
          <w:p>
            <w:pPr>
              <w:spacing w:after="0" w:line="240"/>
            </w:pPr>
            <w:r>
              <w:rPr>
                <w:sz w:val="17"/>
                <w:szCs w:val="17"/>
              </w:rPr>
              <w:t xml:space="preserve">Nov 2022</w:t>
            </w:r>
          </w:p>
        </w:tc>
        <w:tc>
          <w:tcPr>
            <w:tcW w:type="dxa" w:w="1747"/>
            <w:shd w:fill="FFFFFF" w:val="clear"/>
            <w:tcMar>
              <w:top w:type="dxa" w:w="80"/>
              <w:left w:type="dxa" w:w="100"/>
              <w:bottom w:type="dxa" w:w="80"/>
              <w:right w:type="dxa" w:w="100"/>
            </w:tcMar>
          </w:tcPr>
          <w:p>
            <w:pPr>
              <w:spacing w:after="0" w:line="240"/>
            </w:pPr>
            <w:r>
              <w:rPr>
                <w:sz w:val="17"/>
                <w:szCs w:val="17"/>
              </w:rPr>
              <w:t xml:space="preserve">Flat €0.10</w:t>
            </w:r>
          </w:p>
        </w:tc>
        <w:tc>
          <w:tcPr>
            <w:tcW w:type="dxa" w:w="1747"/>
            <w:shd w:fill="FFFFFF" w:val="clear"/>
            <w:tcMar>
              <w:top w:type="dxa" w:w="80"/>
              <w:left w:type="dxa" w:w="100"/>
              <w:bottom w:type="dxa" w:w="80"/>
              <w:right w:type="dxa" w:w="100"/>
            </w:tcMar>
          </w:tcPr>
          <w:p>
            <w:pPr>
              <w:spacing w:after="0" w:line="240"/>
            </w:pPr>
            <w:r>
              <w:rPr>
                <w:sz w:val="17"/>
                <w:szCs w:val="17"/>
              </w:rPr>
              <w:t xml:space="preserve">76% (2023) (GDB, 2024)</w:t>
            </w:r>
          </w:p>
        </w:tc>
        <w:tc>
          <w:tcPr>
            <w:tcW w:type="dxa" w:w="1750"/>
            <w:shd w:fill="FFFFFF" w:val="clear"/>
            <w:tcMar>
              <w:top w:type="dxa" w:w="80"/>
              <w:left w:type="dxa" w:w="100"/>
              <w:bottom w:type="dxa" w:w="80"/>
              <w:right w:type="dxa" w:w="100"/>
            </w:tcMar>
          </w:tcPr>
          <w:p>
            <w:pPr>
              <w:spacing w:after="0" w:line="240"/>
            </w:pPr>
            <w:r>
              <w:rPr>
                <w:b/>
                <w:bCs/>
                <w:sz w:val="17"/>
                <w:szCs w:val="17"/>
              </w:rPr>
              <w:t xml:space="preserve">85% by 2025; &gt;98% voucher redemption</w:t>
            </w:r>
            <w:r>
              <w:rPr>
                <w:sz w:val="17"/>
                <w:szCs w:val="17"/>
              </w:rPr>
              <w:t xml:space="preserve"> (Malta Independent, 2026)</w:t>
            </w:r>
          </w:p>
        </w:tc>
      </w:tr>
      <w:tr>
        <w:tc>
          <w:tcPr>
            <w:tcW w:type="dxa" w:w="1747"/>
            <w:shd w:fill="F5F1E8" w:val="clear"/>
            <w:tcMar>
              <w:top w:type="dxa" w:w="80"/>
              <w:left w:type="dxa" w:w="100"/>
              <w:bottom w:type="dxa" w:w="80"/>
              <w:right w:type="dxa" w:w="100"/>
            </w:tcMar>
          </w:tcPr>
          <w:p>
            <w:pPr>
              <w:spacing w:after="0" w:line="240"/>
            </w:pPr>
            <w:r>
              <w:rPr>
                <w:b/>
                <w:bCs/>
                <w:sz w:val="17"/>
                <w:szCs w:val="17"/>
              </w:rPr>
              <w:t xml:space="preserve">Slovakia (SZS)</w:t>
            </w:r>
          </w:p>
        </w:tc>
        <w:tc>
          <w:tcPr>
            <w:tcW w:type="dxa" w:w="1747"/>
            <w:shd w:fill="F5F1E8" w:val="clear"/>
            <w:tcMar>
              <w:top w:type="dxa" w:w="80"/>
              <w:left w:type="dxa" w:w="100"/>
              <w:bottom w:type="dxa" w:w="80"/>
              <w:right w:type="dxa" w:w="100"/>
            </w:tcMar>
          </w:tcPr>
          <w:p>
            <w:pPr>
              <w:spacing w:after="0" w:line="240"/>
            </w:pPr>
            <w:r>
              <w:rPr>
                <w:sz w:val="17"/>
                <w:szCs w:val="17"/>
              </w:rPr>
              <w:t xml:space="preserve">Jan 2022</w:t>
            </w:r>
          </w:p>
        </w:tc>
        <w:tc>
          <w:tcPr>
            <w:tcW w:type="dxa" w:w="1747"/>
            <w:shd w:fill="F5F1E8" w:val="clear"/>
            <w:tcMar>
              <w:top w:type="dxa" w:w="80"/>
              <w:left w:type="dxa" w:w="100"/>
              <w:bottom w:type="dxa" w:w="80"/>
              <w:right w:type="dxa" w:w="100"/>
            </w:tcMar>
          </w:tcPr>
          <w:p>
            <w:pPr>
              <w:spacing w:after="0" w:line="240"/>
            </w:pPr>
            <w:r>
              <w:rPr>
                <w:sz w:val="17"/>
                <w:szCs w:val="17"/>
              </w:rPr>
              <w:t xml:space="preserve">Flat €0.15</w:t>
            </w:r>
          </w:p>
        </w:tc>
        <w:tc>
          <w:tcPr>
            <w:tcW w:type="dxa" w:w="1747"/>
            <w:shd w:fill="F5F1E8" w:val="clear"/>
            <w:tcMar>
              <w:top w:type="dxa" w:w="80"/>
              <w:left w:type="dxa" w:w="100"/>
              <w:bottom w:type="dxa" w:w="80"/>
              <w:right w:type="dxa" w:w="100"/>
            </w:tcMar>
          </w:tcPr>
          <w:p>
            <w:pPr>
              <w:spacing w:after="0" w:line="240"/>
            </w:pPr>
            <w:r>
              <w:rPr>
                <w:sz w:val="17"/>
                <w:szCs w:val="17"/>
              </w:rPr>
              <w:t xml:space="preserve">60% statutory ramp hit (SZS, 2025)</w:t>
            </w:r>
          </w:p>
        </w:tc>
        <w:tc>
          <w:tcPr>
            <w:tcW w:type="dxa" w:w="1750"/>
            <w:shd w:fill="F5F1E8" w:val="clear"/>
            <w:tcMar>
              <w:top w:type="dxa" w:w="80"/>
              <w:left w:type="dxa" w:w="100"/>
              <w:bottom w:type="dxa" w:w="80"/>
              <w:right w:type="dxa" w:w="100"/>
            </w:tcMar>
          </w:tcPr>
          <w:p>
            <w:pPr>
              <w:spacing w:after="0" w:line="240"/>
            </w:pPr>
            <w:r>
              <w:rPr>
                <w:b/>
                <w:bCs/>
                <w:sz w:val="17"/>
                <w:szCs w:val="17"/>
              </w:rPr>
              <w:t xml:space="preserve">~90-92% stabilised</w:t>
            </w:r>
            <w:r>
              <w:rPr>
                <w:sz w:val="17"/>
                <w:szCs w:val="17"/>
              </w:rPr>
              <w:t xml:space="preserve">, 90% statutory target reached a year early (NATUR-PACK, 2024)</w:t>
            </w:r>
          </w:p>
        </w:tc>
      </w:tr>
      <w:tr>
        <w:tc>
          <w:tcPr>
            <w:tcW w:type="dxa" w:w="1747"/>
            <w:shd w:fill="FFFFFF" w:val="clear"/>
            <w:tcMar>
              <w:top w:type="dxa" w:w="80"/>
              <w:left w:type="dxa" w:w="100"/>
              <w:bottom w:type="dxa" w:w="80"/>
              <w:right w:type="dxa" w:w="100"/>
            </w:tcMar>
          </w:tcPr>
          <w:p>
            <w:pPr>
              <w:spacing w:after="0" w:line="240"/>
            </w:pPr>
            <w:r>
              <w:rPr>
                <w:b/>
                <w:bCs/>
                <w:sz w:val="17"/>
                <w:szCs w:val="17"/>
              </w:rPr>
              <w:t xml:space="preserve">Latvia (DIO)</w:t>
            </w:r>
          </w:p>
        </w:tc>
        <w:tc>
          <w:tcPr>
            <w:tcW w:type="dxa" w:w="1747"/>
            <w:shd w:fill="FFFFFF" w:val="clear"/>
            <w:tcMar>
              <w:top w:type="dxa" w:w="80"/>
              <w:left w:type="dxa" w:w="100"/>
              <w:bottom w:type="dxa" w:w="80"/>
              <w:right w:type="dxa" w:w="100"/>
            </w:tcMar>
          </w:tcPr>
          <w:p>
            <w:pPr>
              <w:spacing w:after="0" w:line="240"/>
            </w:pPr>
            <w:r>
              <w:rPr>
                <w:sz w:val="17"/>
                <w:szCs w:val="17"/>
              </w:rPr>
              <w:t xml:space="preserve">Feb 2022</w:t>
            </w:r>
          </w:p>
        </w:tc>
        <w:tc>
          <w:tcPr>
            <w:tcW w:type="dxa" w:w="1747"/>
            <w:shd w:fill="FFFFFF" w:val="clear"/>
            <w:tcMar>
              <w:top w:type="dxa" w:w="80"/>
              <w:left w:type="dxa" w:w="100"/>
              <w:bottom w:type="dxa" w:w="80"/>
              <w:right w:type="dxa" w:w="100"/>
            </w:tcMar>
          </w:tcPr>
          <w:p>
            <w:pPr>
              <w:spacing w:after="0" w:line="240"/>
            </w:pPr>
            <w:r>
              <w:rPr>
                <w:sz w:val="17"/>
                <w:szCs w:val="17"/>
              </w:rPr>
              <w:t xml:space="preserve">Flat €0.10</w:t>
            </w:r>
          </w:p>
        </w:tc>
        <w:tc>
          <w:tcPr>
            <w:tcW w:type="dxa" w:w="1747"/>
            <w:shd w:fill="FFFFFF" w:val="clear"/>
            <w:tcMar>
              <w:top w:type="dxa" w:w="80"/>
              <w:left w:type="dxa" w:w="100"/>
              <w:bottom w:type="dxa" w:w="80"/>
              <w:right w:type="dxa" w:w="100"/>
            </w:tcMar>
          </w:tcPr>
          <w:p>
            <w:pPr>
              <w:spacing w:after="0" w:line="240"/>
            </w:pPr>
            <w:r>
              <w:rPr>
                <w:sz w:val="17"/>
                <w:szCs w:val="17"/>
              </w:rPr>
              <w:t xml:space="preserve">-</w:t>
            </w:r>
          </w:p>
        </w:tc>
        <w:tc>
          <w:tcPr>
            <w:tcW w:type="dxa" w:w="1750"/>
            <w:shd w:fill="FFFFFF" w:val="clear"/>
            <w:tcMar>
              <w:top w:type="dxa" w:w="80"/>
              <w:left w:type="dxa" w:w="100"/>
              <w:bottom w:type="dxa" w:w="80"/>
              <w:right w:type="dxa" w:w="100"/>
            </w:tcMar>
          </w:tcPr>
          <w:p>
            <w:pPr>
              <w:spacing w:after="0" w:line="240"/>
            </w:pPr>
            <w:r>
              <w:rPr>
                <w:b/>
                <w:bCs/>
                <w:sz w:val="17"/>
                <w:szCs w:val="17"/>
              </w:rPr>
              <w:t xml:space="preserve">80% at two-year mark</w:t>
            </w:r>
            <w:r>
              <w:rPr>
                <w:sz w:val="17"/>
                <w:szCs w:val="17"/>
              </w:rPr>
              <w:t xml:space="preserve"> (TOMRA, 2024)</w:t>
            </w:r>
          </w:p>
        </w:tc>
      </w:tr>
    </w:tbl>
    <w:p>
      <w:pPr>
        <w:spacing w:after="200"/>
      </w:pPr>
      <w:r>
        <w:rPr>
          <w:sz w:val="8"/>
          <w:szCs w:val="8"/>
        </w:rPr>
        <w:t xml:space="preserve"/>
      </w:r>
    </w:p>
    <w:p>
      <w:pPr>
        <w:spacing w:after="160" w:line="300"/>
        <w:jc w:val="both"/>
      </w:pPr>
      <w:r>
        <w:t xml:space="preserve">Four observations:</w:t>
      </w:r>
    </w:p>
    <w:p>
      <w:pPr>
        <w:spacing w:after="90" w:line="290"/>
        <w:ind w:left="380" w:hanging="180"/>
      </w:pPr>
      <w:r>
        <w:rPr>
          <w:b/>
          <w:bCs/>
          <w:color w:val="1B2A4A"/>
        </w:rPr>
        <w:t xml:space="preserve">1. </w:t>
      </w:r>
      <w:r>
        <w:rPr>
          <w:b/>
          <w:bCs/>
        </w:rPr>
        <w:t xml:space="preserve">The ramp is fast and predictable.</w:t>
      </w:r>
      <w:r>
        <w:t xml:space="preserve"> Every well-resourced recent launch reached 80%+ within 12-24 months. This is the empirical basis for the UAE ramp assumed in Chapter 10 - </w:t>
      </w:r>
      <w:r>
        <w:rPr>
          <w:b/>
          <w:bCs/>
        </w:rPr>
        <w:t xml:space="preserve">55% in year 1 rising to 90% by year 7 (2034)</w:t>
      </w:r>
      <w:r>
        <w:t xml:space="preserve"> - which is deliberately </w:t>
      </w:r>
      <w:r>
        <w:rPr>
          <w:i/>
          <w:iCs/>
        </w:rPr>
        <w:t xml:space="preserve">slower</w:t>
      </w:r>
      <w:r>
        <w:t xml:space="preserve"> than Romania, Hungary, Austria and Ireland achieved, reflecting first-in-region status and network build-out. The benchmark evidence suggests the UAE assumption is conservative.</w:t>
      </w:r>
    </w:p>
    <w:p>
      <w:pPr>
        <w:spacing w:after="90" w:line="290"/>
        <w:ind w:left="380" w:hanging="180"/>
      </w:pPr>
      <w:r>
        <w:rPr>
          <w:b/>
          <w:bCs/>
          <w:color w:val="1B2A4A"/>
        </w:rPr>
        <w:t xml:space="preserve">2. </w:t>
      </w:r>
      <w:r>
        <w:rPr>
          <w:b/>
          <w:bCs/>
        </w:rPr>
        <w:t xml:space="preserve">Flat deposits dominate.</w:t>
      </w:r>
      <w:r>
        <w:t xml:space="preserve"> Every fast-ramping system launched with a single flat deposit. Variable-by-size structures (Finland, Germany, Norway) are features of mature systems, not launch systems. This supports the recommended </w:t>
      </w:r>
      <w:r>
        <w:rPr>
          <w:b/>
          <w:bCs/>
        </w:rPr>
        <w:t xml:space="preserve">flat, non-binding AED 0.25</w:t>
      </w:r>
      <w:r>
        <w:t xml:space="preserve"> reference deposit for the UAE.</w:t>
      </w:r>
    </w:p>
    <w:p>
      <w:pPr>
        <w:spacing w:after="90" w:line="290"/>
        <w:ind w:left="380" w:hanging="180"/>
      </w:pPr>
      <w:r>
        <w:rPr>
          <w:b/>
          <w:bCs/>
          <w:color w:val="1B2A4A"/>
        </w:rPr>
        <w:t xml:space="preserve">3. </w:t>
      </w:r>
      <w:r>
        <w:rPr>
          <w:b/>
          <w:bCs/>
        </w:rPr>
        <w:t xml:space="preserve">Governance is the differentiator.</w:t>
      </w:r>
      <w:r>
        <w:t xml:space="preserve"> Romania (20% state / 80% industry, not-for-profit), Ireland (industry-led non-profit) and Slovakia (non-profit consortium ~80% of market) all pair industry ownership with statutory targets. Hungary's state-concession model (MOHU, a MOL Group subsidiary holding a 35-year national waste concession) delivered 88.8% - but with publicly documented retailer friction over handling-fee economics (Budapest Business Journal, 2025). Ownership model matters less than mandate clarity and fair retail compensation.</w:t>
      </w:r>
    </w:p>
    <w:p>
      <w:pPr>
        <w:spacing w:after="90" w:line="290"/>
        <w:ind w:left="380" w:hanging="180"/>
      </w:pPr>
      <w:r>
        <w:rPr>
          <w:b/>
          <w:bCs/>
          <w:color w:val="1B2A4A"/>
        </w:rPr>
        <w:t xml:space="preserve">4. </w:t>
      </w:r>
      <w:r>
        <w:rPr>
          <w:b/>
          <w:bCs/>
        </w:rPr>
        <w:t xml:space="preserve">Retailer readiness is the launch bottleneck.</w:t>
      </w:r>
      <w:r>
        <w:t xml:space="preserve"> Romania's early challenges were retailer-readiness and consumer communication, resolved by H2 2024 (Climate Change Summit, 2025). Ireland addressed this directly with RVM support grants of €3,000/€2,000/€1,000 to small retailers across years 1-3 (Reloop GDB, 2024).</w:t>
      </w:r>
    </w:p>
    <w:p>
      <w:pPr>
        <w:spacing w:after="40" w:before="200"/>
        <w:jc w:val="center"/>
      </w:pPr>
      <w:r>
        <w:drawing>
          <wp:inline distT="0" distB="0" distL="0" distR="0">
            <wp:extent cx="5524500" cy="3171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524500" cy="3171825"/>
                    </a:xfrm>
                    <a:prstGeom prst="rect">
                      <a:avLst/>
                    </a:prstGeom>
                  </pic:spPr>
                </pic:pic>
              </a:graphicData>
            </a:graphic>
          </wp:inline>
        </w:drawing>
      </w:r>
    </w:p>
    <w:p>
      <w:pPr>
        <w:spacing w:after="240" w:before="40"/>
        <w:jc w:val="center"/>
      </w:pPr>
      <w:r>
        <w:rPr>
          <w:rFonts w:ascii="Calibri" w:cs="Calibri" w:eastAsia="Calibri" w:hAnsi="Calibri"/>
          <w:i/>
          <w:iCs/>
          <w:color w:val="4A6580"/>
          <w:sz w:val="17"/>
          <w:szCs w:val="17"/>
        </w:rPr>
        <w:t xml:space="preserve">The race to 90% - launch ramp-ups of the newest systems, with the UAE's modelled conservative ramp overlaid (sources per Table 4.2).</w:t>
      </w:r>
    </w:p>
    <w:p>
      <w:pPr>
        <w:pStyle w:val="Heading2"/>
        <w:keepNext/>
        <w:spacing w:after="140" w:before="340"/>
      </w:pPr>
      <w:r>
        <w:rPr>
          <w:rFonts w:ascii="Georgia" w:cs="Georgia" w:eastAsia="Georgia" w:hAnsi="Georgia"/>
          <w:b/>
          <w:bCs/>
          <w:color w:val="1B2A4A"/>
          <w:sz w:val="30"/>
          <w:szCs w:val="30"/>
        </w:rPr>
        <w:t xml:space="preserve">4.4 Mature Systems: What Twenty Years of Operation Teaches</w:t>
      </w:r>
    </w:p>
    <w:p>
      <w:pPr>
        <w:spacing w:after="160" w:line="300"/>
        <w:jc w:val="both"/>
      </w:pPr>
      <w:r>
        <w:t xml:space="preserve">The Nordic and German systems show where a DRS plateaus - and what sustains 90%+ for decades.</w:t>
      </w:r>
    </w:p>
    <w:p>
      <w:pPr>
        <w:spacing w:after="90" w:line="290"/>
        <w:ind w:left="380" w:hanging="180"/>
      </w:pPr>
      <w:r>
        <w:rPr>
          <w:b/>
          <w:bCs/>
          <w:color w:val="C9A227"/>
        </w:rPr>
        <w:t xml:space="preserve">• </w:t>
      </w:r>
      <w:r>
        <w:rPr>
          <w:b/>
          <w:bCs/>
        </w:rPr>
        <w:t xml:space="preserve">Finland (99%, world's best).</w:t>
      </w:r>
      <w:r>
        <w:t xml:space="preserve"> PALPA, a non-profit owned 50/50 by retailers and producers, is technically </w:t>
      </w:r>
      <w:r>
        <w:rPr>
          <w:i/>
          <w:iCs/>
        </w:rPr>
        <w:t xml:space="preserve">voluntary</w:t>
      </w:r>
      <w:r>
        <w:t xml:space="preserve"> - but non-participants pay a €0.51/litre packaging tax, a quasi-mandate of remarkable force. Deposits vary by size (€0.10-0.40); ~4,000 RVMs plus 9,000 HoReCa points; producer fees are eco-modulated, with clear PET at €0.021 and aluminium at €0.0097 (Reloop GDB, 2024; TOMRA, 2025).</w:t>
      </w:r>
    </w:p>
    <w:p>
      <w:pPr>
        <w:spacing w:after="90" w:line="290"/>
        <w:ind w:left="380" w:hanging="180"/>
      </w:pPr>
      <w:r>
        <w:rPr>
          <w:b/>
          <w:bCs/>
          <w:color w:val="C9A227"/>
        </w:rPr>
        <w:t xml:space="preserve">• </w:t>
      </w:r>
      <w:r>
        <w:rPr>
          <w:b/>
          <w:bCs/>
        </w:rPr>
        <w:t xml:space="preserve">Germany (98%, world's largest).</w:t>
      </w:r>
      <w:r>
        <w:t xml:space="preserve"> A flat </w:t>
      </w:r>
      <w:r>
        <w:rPr>
          <w:b/>
          <w:bCs/>
        </w:rPr>
        <w:t xml:space="preserve">€0.25</w:t>
      </w:r>
      <w:r>
        <w:t xml:space="preserve"> on single-use containers since 2003, ~130,000 collection points (~642 people/point, 90% automated). Uniquely decentralised: no single operator, no producer or handling fees - and </w:t>
      </w:r>
      <w:r>
        <w:rPr>
          <w:b/>
          <w:bCs/>
        </w:rPr>
        <w:t xml:space="preserve">unredeemed deposits stay with producers/retailers</w:t>
      </w:r>
      <w:r>
        <w:t xml:space="preserve">, an estimated €3 billion windfall since 2003 that has drawn sustained criticism (Reloop GDB, 2024; Wikipedia/bliptext, 2025). The UAE design explicitly rejects this feature: deposit funds are pass-through liabilities held in transparent escrow, never operator or producer income.</w:t>
      </w:r>
    </w:p>
    <w:p>
      <w:pPr>
        <w:spacing w:after="90" w:line="290"/>
        <w:ind w:left="380" w:hanging="180"/>
      </w:pPr>
      <w:r>
        <w:rPr>
          <w:b/>
          <w:bCs/>
          <w:color w:val="C9A227"/>
        </w:rPr>
        <w:t xml:space="preserve">• </w:t>
      </w:r>
      <w:r>
        <w:rPr>
          <w:b/>
          <w:bCs/>
        </w:rPr>
        <w:t xml:space="preserve">Norway (~92-93%).</w:t>
      </w:r>
      <w:r>
        <w:t xml:space="preserve"> Infinitum, an industry-owned non-profit, runs the world's densest network (~370 people/point) and a distinctive fiscal lever: members achieving ≥95% are exempt from the environmental packaging tax. Aluminium's producer fee is </w:t>
      </w:r>
      <w:r>
        <w:rPr>
          <w:b/>
          <w:bCs/>
        </w:rPr>
        <w:t xml:space="preserve">negative (−NOK 0.06)</w:t>
      </w:r>
      <w:r>
        <w:t xml:space="preserve"> - scrap value subsidises the system (Reloop GDB, 2024; Circular X, 2023).</w:t>
      </w:r>
    </w:p>
    <w:p>
      <w:pPr>
        <w:spacing w:after="90" w:line="290"/>
        <w:ind w:left="380" w:hanging="180"/>
      </w:pPr>
      <w:r>
        <w:rPr>
          <w:b/>
          <w:bCs/>
          <w:color w:val="C9A227"/>
        </w:rPr>
        <w:t xml:space="preserve">• </w:t>
      </w:r>
      <w:r>
        <w:rPr>
          <w:b/>
          <w:bCs/>
        </w:rPr>
        <w:t xml:space="preserve">Sweden (88%)</w:t>
      </w:r>
      <w:r>
        <w:t xml:space="preserve"> and </w:t>
      </w:r>
      <w:r>
        <w:rPr>
          <w:b/>
          <w:bCs/>
        </w:rPr>
        <w:t xml:space="preserve">Denmark (93%)</w:t>
      </w:r>
      <w:r>
        <w:t xml:space="preserve"> confirm the pattern: non-profit industry PROs, variable deposits, dense return-to-retail networks, and can fees at or near zero because used-beverage-can value carries the stream (Reloop GDB, 2024; TOMRA, 2025).</w:t>
      </w:r>
    </w:p>
    <w:p>
      <w:pPr>
        <w:spacing w:after="160" w:line="300"/>
        <w:jc w:val="both"/>
      </w:pPr>
      <w:r>
        <w:t xml:space="preserve">Three durable lessons: </w:t>
      </w:r>
      <w:r>
        <w:rPr>
          <w:b/>
          <w:bCs/>
        </w:rPr>
        <w:t xml:space="preserve">(i)</w:t>
      </w:r>
      <w:r>
        <w:t xml:space="preserve"> plateau rates of 90-99% are normal for well-run systems, not exceptional; </w:t>
      </w:r>
      <w:r>
        <w:rPr>
          <w:b/>
          <w:bCs/>
        </w:rPr>
        <w:t xml:space="preserve">(ii)</w:t>
      </w:r>
      <w:r>
        <w:t xml:space="preserve"> aluminium's material value means it typically needs zero or negative producer fees - the basis for the UAE's low AED 0.08 can fee; </w:t>
      </w:r>
      <w:r>
        <w:rPr>
          <w:b/>
          <w:bCs/>
        </w:rPr>
        <w:t xml:space="preserve">(iii)</w:t>
      </w:r>
      <w:r>
        <w:t xml:space="preserve"> where unredeemed deposits leak to private parties (Germany), legitimacy suffers - the UAE's escrow-and-reserve design avoids this by construction.</w:t>
      </w:r>
    </w:p>
    <w:p>
      <w:pPr>
        <w:pStyle w:val="Heading2"/>
        <w:keepNext/>
        <w:spacing w:after="140" w:before="340"/>
      </w:pPr>
      <w:r>
        <w:rPr>
          <w:rFonts w:ascii="Georgia" w:cs="Georgia" w:eastAsia="Georgia" w:hAnsi="Georgia"/>
          <w:b/>
          <w:bCs/>
          <w:color w:val="1B2A4A"/>
          <w:sz w:val="30"/>
          <w:szCs w:val="30"/>
        </w:rPr>
        <w:t xml:space="preserve">4.5 Türkiye: The Most Relevant Regional Analogue - Live Since 1 July 2026</w:t>
      </w:r>
    </w:p>
    <w:p>
      <w:pPr>
        <w:spacing w:after="160" w:line="300"/>
        <w:jc w:val="both"/>
      </w:pPr>
      <w:r>
        <w:t xml:space="preserve">Türkiye launched its nationwide DRS ("Depozitosu Olan Ambalajlar", DOA) across all 81 provinces on </w:t>
      </w:r>
      <w:r>
        <w:rPr>
          <w:b/>
          <w:bCs/>
        </w:rPr>
        <w:t xml:space="preserve">1 July 2026 - three weeks before this report</w:t>
      </w:r>
      <w:r>
        <w:t xml:space="preserve">. It is the closest structural analogue to a UAE launch: a hot-climate, tourism-heavy MENA-region economy, government-led, mobile-first.</w:t>
      </w:r>
    </w:p>
    <w:p>
      <w:pPr>
        <w:spacing w:after="160" w:line="300"/>
        <w:jc w:val="both"/>
      </w:pPr>
      <w:r>
        <w:t xml:space="preserve">Key design facts: a uniform </w:t>
      </w:r>
      <w:r>
        <w:rPr>
          <w:b/>
          <w:bCs/>
        </w:rPr>
        <w:t xml:space="preserve">₺1 payout per container</w:t>
      </w:r>
      <w:r>
        <w:t xml:space="preserve"> (PET, glass, aluminium, 0.1-3.01 L), funded </w:t>
      </w:r>
      <w:r>
        <w:rPr>
          <w:b/>
          <w:bCs/>
        </w:rPr>
        <w:t xml:space="preserve">entirely by producer recycling fees - no deposit is charged at the till</w:t>
      </w:r>
      <w:r>
        <w:t xml:space="preserve">, making the system cost-neutral to consumers at purchase. Refunds flow through the </w:t>
      </w:r>
      <w:r>
        <w:rPr>
          <w:b/>
          <w:bCs/>
        </w:rPr>
        <w:t xml:space="preserve">DOA mobile app to a digital wallet</w:t>
      </w:r>
      <w:r>
        <w:t xml:space="preserve"> (bank transfer, ATM, retail spend). The national goal is to lift container collection from </w:t>
      </w:r>
      <w:r>
        <w:rPr>
          <w:b/>
          <w:bCs/>
        </w:rPr>
        <w:t xml:space="preserve">35% to 90%</w:t>
      </w:r>
      <w:r>
        <w:t xml:space="preserve">, recovering ~25 billion containers a year with an estimated ₺30 billion (~US$930m) in annual economic savings. Infrastructure is planned to scale from 5,000 return points (2025) to </w:t>
      </w:r>
      <w:r>
        <w:rPr>
          <w:b/>
          <w:bCs/>
        </w:rPr>
        <w:t xml:space="preserve">30,000 by 2028</w:t>
      </w:r>
      <w:r>
        <w:t xml:space="preserve">, with RVMs mandated at universities, municipalities, &gt;400 m² supermarkets, malls and hotels. Administration sits with the Turkish Environment Agency (TÜÇA), a government-run model with trade-association collaboration (AdsaleCPRJ, 2026; Trbusiness, 2026; Reloop GDB, 2024).</w:t>
      </w:r>
    </w:p>
    <w:p>
      <w:pPr>
        <w:spacing w:after="160" w:line="300"/>
        <w:jc w:val="both"/>
      </w:pPr>
      <w:r>
        <w:t xml:space="preserve">Two caveats for UAE policymakers:</w:t>
      </w:r>
    </w:p>
    <w:p>
      <w:pPr>
        <w:spacing w:after="90" w:line="290"/>
        <w:ind w:left="380" w:hanging="180"/>
      </w:pPr>
      <w:r>
        <w:rPr>
          <w:b/>
          <w:bCs/>
          <w:color w:val="C9A227"/>
        </w:rPr>
        <w:t xml:space="preserve">• </w:t>
      </w:r>
      <w:r>
        <w:rPr>
          <w:b/>
          <w:bCs/>
        </w:rPr>
        <w:t xml:space="preserve">Timeline risk is real even with legislation in place.</w:t>
      </w:r>
      <w:r>
        <w:t xml:space="preserve"> Türkiye's launch was delayed repeatedly - 2021 → 2022 → 2023 → 2024 → 2025 → July 2026 - before going live (Reloop, 2026).</w:t>
      </w:r>
    </w:p>
    <w:p>
      <w:pPr>
        <w:spacing w:after="90" w:line="290"/>
        <w:ind w:left="380" w:hanging="180"/>
      </w:pPr>
      <w:r>
        <w:rPr>
          <w:b/>
          <w:bCs/>
          <w:color w:val="C9A227"/>
        </w:rPr>
        <w:t xml:space="preserve">• </w:t>
      </w:r>
      <w:r>
        <w:rPr>
          <w:b/>
          <w:bCs/>
        </w:rPr>
        <w:t xml:space="preserve">No performance data exists yet.</w:t>
      </w:r>
      <w:r>
        <w:t xml:space="preserve"> [DATA GAP: Türkiye first-year return rate and redemption performance - system live only since 1 Jul 2026; monitor quarterly.] The study's deposit review clause explicitly ties the UAE's year-2 review to Türkiye's first-year results, and Türkiye's ₺1 (~AED 0.11) payout is treated as unproven evidence in the deposit-value debate - one reason the recommended UAE reference deposit is </w:t>
      </w:r>
      <w:r>
        <w:rPr>
          <w:b/>
          <w:bCs/>
        </w:rPr>
        <w:t xml:space="preserve">AED 0.25</w:t>
      </w:r>
      <w:r>
        <w:t xml:space="preserve"> rather than AED 0.10.</w:t>
      </w:r>
    </w:p>
    <w:p>
      <w:pPr>
        <w:spacing w:after="160" w:line="300"/>
        <w:jc w:val="both"/>
      </w:pPr>
      <w:r>
        <w:t xml:space="preserve">Türkiye also demonstrates a financing point the UAE should note: a payout-funded-by-fees architecture is viable, but it removes the consumer's skin-in-the-game that a deposit creates. The UAE model retains a classic deposit precisely because the behavioural evidence (Section 4.1) links deposit level to return rates.</w:t>
      </w:r>
    </w:p>
    <w:p>
      <w:pPr>
        <w:pStyle w:val="Heading2"/>
        <w:keepNext/>
        <w:spacing w:after="140" w:before="340"/>
      </w:pPr>
      <w:r>
        <w:rPr>
          <w:rFonts w:ascii="Georgia" w:cs="Georgia" w:eastAsia="Georgia" w:hAnsi="Georgia"/>
          <w:b/>
          <w:bCs/>
          <w:color w:val="1B2A4A"/>
          <w:sz w:val="30"/>
          <w:szCs w:val="30"/>
        </w:rPr>
        <w:t xml:space="preserve">4.6 Scotland and Spain: Governance Cautionary Tales</w:t>
      </w:r>
    </w:p>
    <w:p>
      <w:pPr>
        <w:spacing w:after="160" w:line="300"/>
        <w:jc w:val="both"/>
      </w:pPr>
      <w:r>
        <w:t xml:space="preserve">Not every DRS story is a success, and the failures are as instructive as the triumphs.</w:t>
      </w:r>
    </w:p>
    <w:p>
      <w:pPr>
        <w:spacing w:after="160" w:line="300"/>
        <w:jc w:val="both"/>
      </w:pPr>
      <w:r>
        <w:rPr>
          <w:b/>
          <w:bCs/>
        </w:rPr>
        <w:t xml:space="preserve">Scotland - how not to govern a launch.</w:t>
      </w:r>
      <w:r>
        <w:t xml:space="preserve"> Scotland's scheme was announced for April 2021 and then deferred five times - July 2022, August 2023, March 2024, October 2025 - before being folded into a UK-wide scheme now due 1 October 2027. The post-mortem identifies three root causes (Insider, 2023; Insider, 2025; Interpath Advisory, 2024):</w:t>
      </w:r>
    </w:p>
    <w:p>
      <w:pPr>
        <w:spacing w:after="90" w:line="290"/>
        <w:ind w:left="380" w:hanging="180"/>
      </w:pPr>
      <w:r>
        <w:rPr>
          <w:b/>
          <w:bCs/>
          <w:color w:val="1B2A4A"/>
        </w:rPr>
        <w:t xml:space="preserve">1. </w:t>
      </w:r>
      <w:r>
        <w:rPr>
          <w:b/>
          <w:bCs/>
        </w:rPr>
        <w:t xml:space="preserve">Legal misalignment across an internal market.</w:t>
      </w:r>
      <w:r>
        <w:t xml:space="preserve"> Launching ahead of the rest of the UK created a conflict with the UK Internal Market Act; Westminster granted only a partial exclusion, blocking glass - the scope fracture that made the scheme unviable. Court testimony in October 2025 revealed that a January 2022 parliamentary warning that the scheme could be "disapplied" was never shared with the operator - </w:t>
      </w:r>
      <w:r>
        <w:rPr>
          <w:i/>
          <w:iCs/>
        </w:rPr>
        <w:t xml:space="preserve">"the material facts were kept from us"</w:t>
      </w:r>
      <w:r>
        <w:t xml:space="preserve"> (CEO David Harris, quoted in Insider, 2025).</w:t>
      </w:r>
    </w:p>
    <w:p>
      <w:pPr>
        <w:spacing w:after="90" w:line="290"/>
        <w:ind w:left="380" w:hanging="180"/>
      </w:pPr>
      <w:r>
        <w:rPr>
          <w:b/>
          <w:bCs/>
          <w:color w:val="1B2A4A"/>
        </w:rPr>
        <w:t xml:space="preserve">2. </w:t>
      </w:r>
      <w:r>
        <w:rPr>
          <w:b/>
          <w:bCs/>
        </w:rPr>
        <w:t xml:space="preserve">An under-capitalised operator.</w:t>
      </w:r>
      <w:r>
        <w:t xml:space="preserve"> Circularity Scotland entered administration in June 2023 with </w:t>
      </w:r>
      <w:r>
        <w:rPr>
          <w:b/>
          <w:bCs/>
        </w:rPr>
        <w:t xml:space="preserve">£86.2m liabilities against £2.1m assets</w:t>
      </w:r>
      <w:r>
        <w:t xml:space="preserve">; 66 jobs lost.</w:t>
      </w:r>
    </w:p>
    <w:p>
      <w:pPr>
        <w:spacing w:after="90" w:line="290"/>
        <w:ind w:left="380" w:hanging="180"/>
      </w:pPr>
      <w:r>
        <w:rPr>
          <w:b/>
          <w:bCs/>
          <w:color w:val="1B2A4A"/>
        </w:rPr>
        <w:t xml:space="preserve">3. </w:t>
      </w:r>
      <w:r>
        <w:rPr>
          <w:b/>
          <w:bCs/>
        </w:rPr>
        <w:t xml:space="preserve">Irrevocable contracts before legal certainty.</w:t>
      </w:r>
      <w:r>
        <w:t xml:space="preserve"> Logistics contractor Biffa is suing the Scottish Government for </w:t>
      </w:r>
      <w:r>
        <w:rPr>
          <w:b/>
          <w:bCs/>
        </w:rPr>
        <w:t xml:space="preserve">£166m</w:t>
      </w:r>
      <w:r>
        <w:t xml:space="preserve"> over the delay.</w:t>
      </w:r>
    </w:p>
    <w:p>
      <w:pPr>
        <w:spacing w:after="160" w:line="300"/>
        <w:jc w:val="both"/>
      </w:pPr>
      <w:r>
        <w:rPr>
          <w:b/>
          <w:bCs/>
        </w:rPr>
        <w:t xml:space="preserve">Spain - incumbent resistance.</w:t>
      </w:r>
      <w:r>
        <w:t xml:space="preserve"> Spain legally mandated a DRS by November 2026 after collecting only 41.3% of plastic bottles in 2023 against a 70% statutory target - yet as of mid-2026 operator authorisation remains unresolved amid competing applicants and incumbent-PRO resistance, and industry doubts the deadline will hold (RTVE, 2024; PPWR Atlas, 2026).</w:t>
      </w:r>
    </w:p>
    <w:p>
      <w:pPr>
        <w:spacing w:after="160" w:line="300"/>
        <w:jc w:val="both"/>
      </w:pPr>
      <w:r>
        <w:rPr>
          <w:b/>
          <w:bCs/>
        </w:rPr>
        <w:t xml:space="preserve">Implications for the UAE.</w:t>
      </w:r>
      <w:r>
        <w:t xml:space="preserve"> A federation, like the UK, is an internal market: </w:t>
      </w:r>
      <w:r>
        <w:rPr>
          <w:b/>
          <w:bCs/>
        </w:rPr>
        <w:t xml:space="preserve">scope and legal framework must be aligned across all seven emirates before operator contracts are signed</w:t>
      </w:r>
      <w:r>
        <w:t xml:space="preserve">; the operating entity must be capitalised for delay scenarios; and incumbent waste-sector interests must be mapped and engaged early. The national, federally-coordinated approach proposed in this study - rather than emirate-by-emirate launches - is precisely the architecture Scotland lacked.</w:t>
      </w:r>
    </w:p>
    <w:p>
      <w:pPr>
        <w:pStyle w:val="Heading2"/>
        <w:keepNext/>
        <w:spacing w:after="140" w:before="340"/>
      </w:pPr>
      <w:r>
        <w:rPr>
          <w:rFonts w:ascii="Georgia" w:cs="Georgia" w:eastAsia="Georgia" w:hAnsi="Georgia"/>
          <w:b/>
          <w:bCs/>
          <w:color w:val="1B2A4A"/>
          <w:sz w:val="30"/>
          <w:szCs w:val="30"/>
        </w:rPr>
        <w:t xml:space="preserve">4.7 Ten Design Patterns for the UAE</w:t>
      </w:r>
    </w:p>
    <w:p>
      <w:pPr>
        <w:spacing w:after="160" w:line="300"/>
        <w:jc w:val="both"/>
      </w:pPr>
      <w:r>
        <w:t xml:space="preserve">Distilling the evidence of 60 jurisdictions - and especially the systems profiled above - ten patterns emerge. These are the load-bearing design choices of the system presented in Chapters 5-10.</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2184"/>
        <w:gridCol w:w="2184"/>
        <w:gridCol w:w="2184"/>
        <w:gridCol w:w="2186"/>
      </w:tblGrid>
      <w:tr>
        <w:trPr>
          <w:tblHeader/>
        </w:trPr>
        <w:tc>
          <w:tcPr>
            <w:tcW w:type="dxa" w:w="218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w:t>
            </w:r>
          </w:p>
        </w:tc>
        <w:tc>
          <w:tcPr>
            <w:tcW w:type="dxa" w:w="218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Pattern</w:t>
            </w:r>
          </w:p>
        </w:tc>
        <w:tc>
          <w:tcPr>
            <w:tcW w:type="dxa" w:w="218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Evidence anchor</w:t>
            </w:r>
          </w:p>
        </w:tc>
        <w:tc>
          <w:tcPr>
            <w:tcW w:type="dxa" w:w="2186"/>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UAE application</w:t>
            </w:r>
          </w:p>
        </w:tc>
      </w:tr>
      <w:tr>
        <w:tc>
          <w:tcPr>
            <w:tcW w:type="dxa" w:w="2184"/>
            <w:shd w:fill="FFFFFF" w:val="clear"/>
            <w:tcMar>
              <w:top w:type="dxa" w:w="80"/>
              <w:left w:type="dxa" w:w="100"/>
              <w:bottom w:type="dxa" w:w="80"/>
              <w:right w:type="dxa" w:w="100"/>
            </w:tcMar>
          </w:tcPr>
          <w:p>
            <w:pPr>
              <w:spacing w:after="0" w:line="240"/>
            </w:pPr>
            <w:r>
              <w:rPr>
                <w:sz w:val="17"/>
                <w:szCs w:val="17"/>
              </w:rPr>
              <w:t xml:space="preserve">1</w:t>
            </w:r>
          </w:p>
        </w:tc>
        <w:tc>
          <w:tcPr>
            <w:tcW w:type="dxa" w:w="2184"/>
            <w:shd w:fill="FFFFFF" w:val="clear"/>
            <w:tcMar>
              <w:top w:type="dxa" w:w="80"/>
              <w:left w:type="dxa" w:w="100"/>
              <w:bottom w:type="dxa" w:w="80"/>
              <w:right w:type="dxa" w:w="100"/>
            </w:tcMar>
          </w:tcPr>
          <w:p>
            <w:pPr>
              <w:spacing w:after="0" w:line="240"/>
            </w:pPr>
            <w:r>
              <w:rPr>
                <w:b/>
                <w:bCs/>
                <w:sz w:val="17"/>
                <w:szCs w:val="17"/>
              </w:rPr>
              <w:t xml:space="preserve">Launch nationally, day one</w:t>
            </w:r>
          </w:p>
        </w:tc>
        <w:tc>
          <w:tcPr>
            <w:tcW w:type="dxa" w:w="2184"/>
            <w:shd w:fill="FFFFFF" w:val="clear"/>
            <w:tcMar>
              <w:top w:type="dxa" w:w="80"/>
              <w:left w:type="dxa" w:w="100"/>
              <w:bottom w:type="dxa" w:w="80"/>
              <w:right w:type="dxa" w:w="100"/>
            </w:tcMar>
          </w:tcPr>
          <w:p>
            <w:pPr>
              <w:spacing w:after="0" w:line="240"/>
            </w:pPr>
            <w:r>
              <w:rPr>
                <w:sz w:val="17"/>
                <w:szCs w:val="17"/>
              </w:rPr>
              <w:t xml:space="preserve">Lithuania, Slovakia, Malta, Romania, Hungary, Ireland, Austria, Türkiye all launched nationally in one step; Lithuania needed ~18 months law-to-launch (USAD, 2019)</w:t>
            </w:r>
          </w:p>
        </w:tc>
        <w:tc>
          <w:tcPr>
            <w:tcW w:type="dxa" w:w="2186"/>
            <w:shd w:fill="FFFFFF" w:val="clear"/>
            <w:tcMar>
              <w:top w:type="dxa" w:w="80"/>
              <w:left w:type="dxa" w:w="100"/>
              <w:bottom w:type="dxa" w:w="80"/>
              <w:right w:type="dxa" w:w="100"/>
            </w:tcMar>
          </w:tcPr>
          <w:p>
            <w:pPr>
              <w:spacing w:after="0" w:line="240"/>
            </w:pPr>
            <w:r>
              <w:rPr>
                <w:sz w:val="17"/>
                <w:szCs w:val="17"/>
              </w:rPr>
              <w:t xml:space="preserve">National scope across all emirates from launch; avoids Scotland's internal-market fracture</w:t>
            </w:r>
          </w:p>
        </w:tc>
      </w:tr>
      <w:tr>
        <w:tc>
          <w:tcPr>
            <w:tcW w:type="dxa" w:w="2184"/>
            <w:shd w:fill="F5F1E8" w:val="clear"/>
            <w:tcMar>
              <w:top w:type="dxa" w:w="80"/>
              <w:left w:type="dxa" w:w="100"/>
              <w:bottom w:type="dxa" w:w="80"/>
              <w:right w:type="dxa" w:w="100"/>
            </w:tcMar>
          </w:tcPr>
          <w:p>
            <w:pPr>
              <w:spacing w:after="0" w:line="240"/>
            </w:pPr>
            <w:r>
              <w:rPr>
                <w:sz w:val="17"/>
                <w:szCs w:val="17"/>
              </w:rPr>
              <w:t xml:space="preserve">2</w:t>
            </w:r>
          </w:p>
        </w:tc>
        <w:tc>
          <w:tcPr>
            <w:tcW w:type="dxa" w:w="2184"/>
            <w:shd w:fill="F5F1E8" w:val="clear"/>
            <w:tcMar>
              <w:top w:type="dxa" w:w="80"/>
              <w:left w:type="dxa" w:w="100"/>
              <w:bottom w:type="dxa" w:w="80"/>
              <w:right w:type="dxa" w:w="100"/>
            </w:tcMar>
          </w:tcPr>
          <w:p>
            <w:pPr>
              <w:spacing w:after="0" w:line="240"/>
            </w:pPr>
            <w:r>
              <w:rPr>
                <w:b/>
                <w:bCs/>
                <w:sz w:val="17"/>
                <w:szCs w:val="17"/>
              </w:rPr>
              <w:t xml:space="preserve">Target 80-90% within 24 months; plan the ramp conservatively</w:t>
            </w:r>
          </w:p>
        </w:tc>
        <w:tc>
          <w:tcPr>
            <w:tcW w:type="dxa" w:w="2184"/>
            <w:shd w:fill="F5F1E8" w:val="clear"/>
            <w:tcMar>
              <w:top w:type="dxa" w:w="80"/>
              <w:left w:type="dxa" w:w="100"/>
              <w:bottom w:type="dxa" w:w="80"/>
              <w:right w:type="dxa" w:w="100"/>
            </w:tcMar>
          </w:tcPr>
          <w:p>
            <w:pPr>
              <w:spacing w:after="0" w:line="240"/>
            </w:pPr>
            <w:r>
              <w:rPr>
                <w:sz w:val="17"/>
                <w:szCs w:val="17"/>
              </w:rPr>
              <w:t xml:space="preserve">Romania 84% month-11; Hungary 88.8% yr-2; Austria 81.5% yr-1; Ireland 91% yr-2</w:t>
            </w:r>
          </w:p>
        </w:tc>
        <w:tc>
          <w:tcPr>
            <w:tcW w:type="dxa" w:w="2186"/>
            <w:shd w:fill="F5F1E8" w:val="clear"/>
            <w:tcMar>
              <w:top w:type="dxa" w:w="80"/>
              <w:left w:type="dxa" w:w="100"/>
              <w:bottom w:type="dxa" w:w="80"/>
              <w:right w:type="dxa" w:w="100"/>
            </w:tcMar>
          </w:tcPr>
          <w:p>
            <w:pPr>
              <w:spacing w:after="0" w:line="240"/>
            </w:pPr>
            <w:r>
              <w:rPr>
                <w:sz w:val="17"/>
                <w:szCs w:val="17"/>
              </w:rPr>
              <w:t xml:space="preserve">Modelled UAE ramp 55% → 90% by yr-7 is deliberately below demonstrated performance - upside, not risk</w:t>
            </w:r>
          </w:p>
        </w:tc>
      </w:tr>
      <w:tr>
        <w:tc>
          <w:tcPr>
            <w:tcW w:type="dxa" w:w="2184"/>
            <w:shd w:fill="FFFFFF" w:val="clear"/>
            <w:tcMar>
              <w:top w:type="dxa" w:w="80"/>
              <w:left w:type="dxa" w:w="100"/>
              <w:bottom w:type="dxa" w:w="80"/>
              <w:right w:type="dxa" w:w="100"/>
            </w:tcMar>
          </w:tcPr>
          <w:p>
            <w:pPr>
              <w:spacing w:after="0" w:line="240"/>
            </w:pPr>
            <w:r>
              <w:rPr>
                <w:sz w:val="17"/>
                <w:szCs w:val="17"/>
              </w:rPr>
              <w:t xml:space="preserve">3</w:t>
            </w:r>
          </w:p>
        </w:tc>
        <w:tc>
          <w:tcPr>
            <w:tcW w:type="dxa" w:w="2184"/>
            <w:shd w:fill="FFFFFF" w:val="clear"/>
            <w:tcMar>
              <w:top w:type="dxa" w:w="80"/>
              <w:left w:type="dxa" w:w="100"/>
              <w:bottom w:type="dxa" w:w="80"/>
              <w:right w:type="dxa" w:w="100"/>
            </w:tcMar>
          </w:tcPr>
          <w:p>
            <w:pPr>
              <w:spacing w:after="0" w:line="240"/>
            </w:pPr>
            <w:r>
              <w:rPr>
                <w:b/>
                <w:bCs/>
                <w:sz w:val="17"/>
                <w:szCs w:val="17"/>
              </w:rPr>
              <w:t xml:space="preserve">Flat, meaningful deposit at launch</w:t>
            </w:r>
          </w:p>
        </w:tc>
        <w:tc>
          <w:tcPr>
            <w:tcW w:type="dxa" w:w="2184"/>
            <w:shd w:fill="FFFFFF" w:val="clear"/>
            <w:tcMar>
              <w:top w:type="dxa" w:w="80"/>
              <w:left w:type="dxa" w:w="100"/>
              <w:bottom w:type="dxa" w:w="80"/>
              <w:right w:type="dxa" w:w="100"/>
            </w:tcMar>
          </w:tcPr>
          <w:p>
            <w:pPr>
              <w:spacing w:after="0" w:line="240"/>
            </w:pPr>
            <w:r>
              <w:rPr>
                <w:sz w:val="17"/>
                <w:szCs w:val="17"/>
              </w:rPr>
              <w:t xml:space="preserve">All fast-ramping systems launched flat (€0.10-0.15); deposit level is the top performance lever (Reloop, 2026)</w:t>
            </w:r>
          </w:p>
        </w:tc>
        <w:tc>
          <w:tcPr>
            <w:tcW w:type="dxa" w:w="2186"/>
            <w:shd w:fill="FFFFFF" w:val="clear"/>
            <w:tcMar>
              <w:top w:type="dxa" w:w="80"/>
              <w:left w:type="dxa" w:w="100"/>
              <w:bottom w:type="dxa" w:w="80"/>
              <w:right w:type="dxa" w:w="100"/>
            </w:tcMar>
          </w:tcPr>
          <w:p>
            <w:pPr>
              <w:spacing w:after="0" w:line="240"/>
            </w:pPr>
            <w:r>
              <w:rPr>
                <w:sz w:val="17"/>
                <w:szCs w:val="17"/>
              </w:rPr>
              <w:t xml:space="preserve">Recommended </w:t>
            </w:r>
            <w:r>
              <w:rPr>
                <w:b/>
                <w:bCs/>
                <w:sz w:val="17"/>
                <w:szCs w:val="17"/>
              </w:rPr>
              <w:t xml:space="preserve">flat AED 0.25</w:t>
            </w:r>
            <w:r>
              <w:rPr>
                <w:sz w:val="17"/>
                <w:szCs w:val="17"/>
              </w:rPr>
              <w:t xml:space="preserve"> (non-binding reference): ~25% of a typical AED 1 water-bottle price - behaviour-changing, fraud-moderate, simple</w:t>
            </w:r>
          </w:p>
        </w:tc>
      </w:tr>
      <w:tr>
        <w:tc>
          <w:tcPr>
            <w:tcW w:type="dxa" w:w="2184"/>
            <w:shd w:fill="F5F1E8" w:val="clear"/>
            <w:tcMar>
              <w:top w:type="dxa" w:w="80"/>
              <w:left w:type="dxa" w:w="100"/>
              <w:bottom w:type="dxa" w:w="80"/>
              <w:right w:type="dxa" w:w="100"/>
            </w:tcMar>
          </w:tcPr>
          <w:p>
            <w:pPr>
              <w:spacing w:after="0" w:line="240"/>
            </w:pPr>
            <w:r>
              <w:rPr>
                <w:sz w:val="17"/>
                <w:szCs w:val="17"/>
              </w:rPr>
              <w:t xml:space="preserve">4</w:t>
            </w:r>
          </w:p>
        </w:tc>
        <w:tc>
          <w:tcPr>
            <w:tcW w:type="dxa" w:w="2184"/>
            <w:shd w:fill="F5F1E8" w:val="clear"/>
            <w:tcMar>
              <w:top w:type="dxa" w:w="80"/>
              <w:left w:type="dxa" w:w="100"/>
              <w:bottom w:type="dxa" w:w="80"/>
              <w:right w:type="dxa" w:w="100"/>
            </w:tcMar>
          </w:tcPr>
          <w:p>
            <w:pPr>
              <w:spacing w:after="0" w:line="240"/>
            </w:pPr>
            <w:r>
              <w:rPr>
                <w:b/>
                <w:bCs/>
                <w:sz w:val="17"/>
                <w:szCs w:val="17"/>
              </w:rPr>
              <w:t xml:space="preserve">Cover all three materials - PET, metal, glass - in one system</w:t>
            </w:r>
          </w:p>
        </w:tc>
        <w:tc>
          <w:tcPr>
            <w:tcW w:type="dxa" w:w="2184"/>
            <w:shd w:fill="F5F1E8" w:val="clear"/>
            <w:tcMar>
              <w:top w:type="dxa" w:w="80"/>
              <w:left w:type="dxa" w:w="100"/>
              <w:bottom w:type="dxa" w:w="80"/>
              <w:right w:type="dxa" w:w="100"/>
            </w:tcMar>
          </w:tcPr>
          <w:p>
            <w:pPr>
              <w:spacing w:after="0" w:line="240"/>
            </w:pPr>
            <w:r>
              <w:rPr>
                <w:sz w:val="17"/>
                <w:szCs w:val="17"/>
              </w:rPr>
              <w:t xml:space="preserve">Proven in Lithuania, Romania, Hungary, Malta, Croatia, Estonia, Iceland; glass runs 5-10 pts below PET/metal (GDB, 2024)</w:t>
            </w:r>
          </w:p>
        </w:tc>
        <w:tc>
          <w:tcPr>
            <w:tcW w:type="dxa" w:w="2186"/>
            <w:shd w:fill="F5F1E8" w:val="clear"/>
            <w:tcMar>
              <w:top w:type="dxa" w:w="80"/>
              <w:left w:type="dxa" w:w="100"/>
              <w:bottom w:type="dxa" w:w="80"/>
              <w:right w:type="dxa" w:w="100"/>
            </w:tcMar>
          </w:tcPr>
          <w:p>
            <w:pPr>
              <w:spacing w:after="0" w:line="240"/>
            </w:pPr>
            <w:r>
              <w:rPr>
                <w:sz w:val="17"/>
                <w:szCs w:val="17"/>
              </w:rPr>
              <w:t xml:space="preserve">UAE scope: PET + aluminium + glass from day one; glass carries the highest fee (AED 0.24) as a net-cost stream</w:t>
            </w:r>
          </w:p>
        </w:tc>
      </w:tr>
      <w:tr>
        <w:tc>
          <w:tcPr>
            <w:tcW w:type="dxa" w:w="2184"/>
            <w:shd w:fill="FFFFFF" w:val="clear"/>
            <w:tcMar>
              <w:top w:type="dxa" w:w="80"/>
              <w:left w:type="dxa" w:w="100"/>
              <w:bottom w:type="dxa" w:w="80"/>
              <w:right w:type="dxa" w:w="100"/>
            </w:tcMar>
          </w:tcPr>
          <w:p>
            <w:pPr>
              <w:spacing w:after="0" w:line="240"/>
            </w:pPr>
            <w:r>
              <w:rPr>
                <w:sz w:val="17"/>
                <w:szCs w:val="17"/>
              </w:rPr>
              <w:t xml:space="preserve">5</w:t>
            </w:r>
          </w:p>
        </w:tc>
        <w:tc>
          <w:tcPr>
            <w:tcW w:type="dxa" w:w="2184"/>
            <w:shd w:fill="FFFFFF" w:val="clear"/>
            <w:tcMar>
              <w:top w:type="dxa" w:w="80"/>
              <w:left w:type="dxa" w:w="100"/>
              <w:bottom w:type="dxa" w:w="80"/>
              <w:right w:type="dxa" w:w="100"/>
            </w:tcMar>
          </w:tcPr>
          <w:p>
            <w:pPr>
              <w:spacing w:after="0" w:line="240"/>
            </w:pPr>
            <w:r>
              <w:rPr>
                <w:b/>
                <w:bCs/>
                <w:sz w:val="17"/>
                <w:szCs w:val="17"/>
              </w:rPr>
              <w:t xml:space="preserve">Single, centralised, not-for-profit system operator with industry ownership</w:t>
            </w:r>
          </w:p>
        </w:tc>
        <w:tc>
          <w:tcPr>
            <w:tcW w:type="dxa" w:w="2184"/>
            <w:shd w:fill="FFFFFF" w:val="clear"/>
            <w:tcMar>
              <w:top w:type="dxa" w:w="80"/>
              <w:left w:type="dxa" w:w="100"/>
              <w:bottom w:type="dxa" w:w="80"/>
              <w:right w:type="dxa" w:w="100"/>
            </w:tcMar>
          </w:tcPr>
          <w:p>
            <w:pPr>
              <w:spacing w:after="0" w:line="240"/>
            </w:pPr>
            <w:r>
              <w:rPr>
                <w:sz w:val="17"/>
                <w:szCs w:val="17"/>
              </w:rPr>
              <w:t xml:space="preserve">Dominant best practice: Lithuania, Norway, Sweden, Finland, Estonia, Slovakia, Ireland, Malta; state-shareholding variant Romania 20% (GDB, 2024)</w:t>
            </w:r>
          </w:p>
        </w:tc>
        <w:tc>
          <w:tcPr>
            <w:tcW w:type="dxa" w:w="2186"/>
            <w:shd w:fill="FFFFFF" w:val="clear"/>
            <w:tcMar>
              <w:top w:type="dxa" w:w="80"/>
              <w:left w:type="dxa" w:w="100"/>
              <w:bottom w:type="dxa" w:w="80"/>
              <w:right w:type="dxa" w:w="100"/>
            </w:tcMar>
          </w:tcPr>
          <w:p>
            <w:pPr>
              <w:spacing w:after="0" w:line="240"/>
            </w:pPr>
            <w:r>
              <w:rPr>
                <w:sz w:val="17"/>
                <w:szCs w:val="17"/>
              </w:rPr>
              <w:t xml:space="preserve">Central SPV with industry participation and transparent public reporting</w:t>
            </w:r>
          </w:p>
        </w:tc>
      </w:tr>
      <w:tr>
        <w:tc>
          <w:tcPr>
            <w:tcW w:type="dxa" w:w="2184"/>
            <w:shd w:fill="F5F1E8" w:val="clear"/>
            <w:tcMar>
              <w:top w:type="dxa" w:w="80"/>
              <w:left w:type="dxa" w:w="100"/>
              <w:bottom w:type="dxa" w:w="80"/>
              <w:right w:type="dxa" w:w="100"/>
            </w:tcMar>
          </w:tcPr>
          <w:p>
            <w:pPr>
              <w:spacing w:after="0" w:line="240"/>
            </w:pPr>
            <w:r>
              <w:rPr>
                <w:sz w:val="17"/>
                <w:szCs w:val="17"/>
              </w:rPr>
              <w:t xml:space="preserve">6</w:t>
            </w:r>
          </w:p>
        </w:tc>
        <w:tc>
          <w:tcPr>
            <w:tcW w:type="dxa" w:w="2184"/>
            <w:shd w:fill="F5F1E8" w:val="clear"/>
            <w:tcMar>
              <w:top w:type="dxa" w:w="80"/>
              <w:left w:type="dxa" w:w="100"/>
              <w:bottom w:type="dxa" w:w="80"/>
              <w:right w:type="dxa" w:w="100"/>
            </w:tcMar>
          </w:tcPr>
          <w:p>
            <w:pPr>
              <w:spacing w:after="0" w:line="240"/>
            </w:pPr>
            <w:r>
              <w:rPr>
                <w:b/>
                <w:bCs/>
                <w:sz w:val="17"/>
                <w:szCs w:val="17"/>
              </w:rPr>
              <w:t xml:space="preserve">Producer fees calibrated to steady-state cost recovery, reviewed annually</w:t>
            </w:r>
          </w:p>
        </w:tc>
        <w:tc>
          <w:tcPr>
            <w:tcW w:type="dxa" w:w="2184"/>
            <w:shd w:fill="F5F1E8" w:val="clear"/>
            <w:tcMar>
              <w:top w:type="dxa" w:w="80"/>
              <w:left w:type="dxa" w:w="100"/>
              <w:bottom w:type="dxa" w:w="80"/>
              <w:right w:type="dxa" w:w="100"/>
            </w:tcMar>
          </w:tcPr>
          <w:p>
            <w:pPr>
              <w:spacing w:after="0" w:line="240"/>
            </w:pPr>
            <w:r>
              <w:rPr>
                <w:sz w:val="17"/>
                <w:szCs w:val="17"/>
              </w:rPr>
              <w:t xml:space="preserve">Lithuania 53/30/17 mix; Ireland's lesson: "fees must be set for the steady state, not the ramp-up"</w:t>
            </w:r>
          </w:p>
        </w:tc>
        <w:tc>
          <w:tcPr>
            <w:tcW w:type="dxa" w:w="2186"/>
            <w:shd w:fill="F5F1E8" w:val="clear"/>
            <w:tcMar>
              <w:top w:type="dxa" w:w="80"/>
              <w:left w:type="dxa" w:w="100"/>
              <w:bottom w:type="dxa" w:w="80"/>
              <w:right w:type="dxa" w:w="100"/>
            </w:tcMar>
          </w:tcPr>
          <w:p>
            <w:pPr>
              <w:spacing w:after="0" w:line="240"/>
            </w:pPr>
            <w:r>
              <w:rPr>
                <w:sz w:val="17"/>
                <w:szCs w:val="17"/>
              </w:rPr>
              <w:t xml:space="preserve">UAE fees </w:t>
            </w:r>
            <w:r>
              <w:rPr>
                <w:b/>
                <w:bCs/>
                <w:sz w:val="17"/>
                <w:szCs w:val="17"/>
              </w:rPr>
              <w:t xml:space="preserve">AED 0.20 PET / 0.08 aluminium / 0.24 glass</w:t>
            </w:r>
            <w:r>
              <w:rPr>
                <w:sz w:val="17"/>
                <w:szCs w:val="17"/>
              </w:rPr>
              <w:t xml:space="preserve">, replacing Lithuania's 17% unredeemed-deposit share - because </w:t>
            </w:r>
            <w:r>
              <w:rPr>
                <w:b/>
                <w:bCs/>
                <w:sz w:val="17"/>
                <w:szCs w:val="17"/>
              </w:rPr>
              <w:t xml:space="preserve">Segen earns zero from unredeemed deposits</w:t>
            </w:r>
            <w:r>
              <w:rPr>
                <w:sz w:val="17"/>
                <w:szCs w:val="17"/>
              </w:rPr>
              <w:t xml:space="preserve">, which sit in transparent escrow as a system reserve</w:t>
            </w:r>
          </w:p>
        </w:tc>
      </w:tr>
      <w:tr>
        <w:tc>
          <w:tcPr>
            <w:tcW w:type="dxa" w:w="2184"/>
            <w:shd w:fill="FFFFFF" w:val="clear"/>
            <w:tcMar>
              <w:top w:type="dxa" w:w="80"/>
              <w:left w:type="dxa" w:w="100"/>
              <w:bottom w:type="dxa" w:w="80"/>
              <w:right w:type="dxa" w:w="100"/>
            </w:tcMar>
          </w:tcPr>
          <w:p>
            <w:pPr>
              <w:spacing w:after="0" w:line="240"/>
            </w:pPr>
            <w:r>
              <w:rPr>
                <w:sz w:val="17"/>
                <w:szCs w:val="17"/>
              </w:rPr>
              <w:t xml:space="preserve">7</w:t>
            </w:r>
          </w:p>
        </w:tc>
        <w:tc>
          <w:tcPr>
            <w:tcW w:type="dxa" w:w="2184"/>
            <w:shd w:fill="FFFFFF" w:val="clear"/>
            <w:tcMar>
              <w:top w:type="dxa" w:w="80"/>
              <w:left w:type="dxa" w:w="100"/>
              <w:bottom w:type="dxa" w:w="80"/>
              <w:right w:type="dxa" w:w="100"/>
            </w:tcMar>
          </w:tcPr>
          <w:p>
            <w:pPr>
              <w:spacing w:after="0" w:line="240"/>
            </w:pPr>
            <w:r>
              <w:rPr>
                <w:b/>
                <w:bCs/>
                <w:sz w:val="17"/>
                <w:szCs w:val="17"/>
              </w:rPr>
              <w:t xml:space="preserve">Aluminium pays little or nothing - its material value carries it</w:t>
            </w:r>
          </w:p>
        </w:tc>
        <w:tc>
          <w:tcPr>
            <w:tcW w:type="dxa" w:w="2184"/>
            <w:shd w:fill="FFFFFF" w:val="clear"/>
            <w:tcMar>
              <w:top w:type="dxa" w:w="80"/>
              <w:left w:type="dxa" w:w="100"/>
              <w:bottom w:type="dxa" w:w="80"/>
              <w:right w:type="dxa" w:w="100"/>
            </w:tcMar>
          </w:tcPr>
          <w:p>
            <w:pPr>
              <w:spacing w:after="0" w:line="240"/>
            </w:pPr>
            <w:r>
              <w:rPr>
                <w:sz w:val="17"/>
                <w:szCs w:val="17"/>
              </w:rPr>
              <w:t xml:space="preserve">Norway −NOK 0.06; Sweden SEK 0; Slovakia €0.0001 (GDB, 2024)</w:t>
            </w:r>
          </w:p>
        </w:tc>
        <w:tc>
          <w:tcPr>
            <w:tcW w:type="dxa" w:w="2186"/>
            <w:shd w:fill="FFFFFF" w:val="clear"/>
            <w:tcMar>
              <w:top w:type="dxa" w:w="80"/>
              <w:left w:type="dxa" w:w="100"/>
              <w:bottom w:type="dxa" w:w="80"/>
              <w:right w:type="dxa" w:w="100"/>
            </w:tcMar>
          </w:tcPr>
          <w:p>
            <w:pPr>
              <w:spacing w:after="0" w:line="240"/>
            </w:pPr>
            <w:r>
              <w:rPr>
                <w:sz w:val="17"/>
                <w:szCs w:val="17"/>
              </w:rPr>
              <w:t xml:space="preserve">Low AED 0.08 can fee; used-beverage-can (UBC) value cross-subsidises glass</w:t>
            </w:r>
          </w:p>
        </w:tc>
      </w:tr>
      <w:tr>
        <w:tc>
          <w:tcPr>
            <w:tcW w:type="dxa" w:w="2184"/>
            <w:shd w:fill="F5F1E8" w:val="clear"/>
            <w:tcMar>
              <w:top w:type="dxa" w:w="80"/>
              <w:left w:type="dxa" w:w="100"/>
              <w:bottom w:type="dxa" w:w="80"/>
              <w:right w:type="dxa" w:w="100"/>
            </w:tcMar>
          </w:tcPr>
          <w:p>
            <w:pPr>
              <w:spacing w:after="0" w:line="240"/>
            </w:pPr>
            <w:r>
              <w:rPr>
                <w:sz w:val="17"/>
                <w:szCs w:val="17"/>
              </w:rPr>
              <w:t xml:space="preserve">8</w:t>
            </w:r>
          </w:p>
        </w:tc>
        <w:tc>
          <w:tcPr>
            <w:tcW w:type="dxa" w:w="2184"/>
            <w:shd w:fill="F5F1E8" w:val="clear"/>
            <w:tcMar>
              <w:top w:type="dxa" w:w="80"/>
              <w:left w:type="dxa" w:w="100"/>
              <w:bottom w:type="dxa" w:w="80"/>
              <w:right w:type="dxa" w:w="100"/>
            </w:tcMar>
          </w:tcPr>
          <w:p>
            <w:pPr>
              <w:spacing w:after="0" w:line="240"/>
            </w:pPr>
            <w:r>
              <w:rPr>
                <w:b/>
                <w:bCs/>
                <w:sz w:val="17"/>
                <w:szCs w:val="17"/>
              </w:rPr>
              <w:t xml:space="preserve">Density is destiny: &lt;1,000-1,500 people per return point</w:t>
            </w:r>
          </w:p>
        </w:tc>
        <w:tc>
          <w:tcPr>
            <w:tcW w:type="dxa" w:w="2184"/>
            <w:shd w:fill="F5F1E8" w:val="clear"/>
            <w:tcMar>
              <w:top w:type="dxa" w:w="80"/>
              <w:left w:type="dxa" w:w="100"/>
              <w:bottom w:type="dxa" w:w="80"/>
              <w:right w:type="dxa" w:w="100"/>
            </w:tcMar>
          </w:tcPr>
          <w:p>
            <w:pPr>
              <w:spacing w:after="0" w:line="240"/>
            </w:pPr>
            <w:r>
              <w:rPr>
                <w:sz w:val="17"/>
                <w:szCs w:val="17"/>
              </w:rPr>
              <w:t xml:space="preserve">Norway 370, Denmark 448, Romania 545, Germany 642, Lithuania 1,110 (GDB, 2024)</w:t>
            </w:r>
          </w:p>
        </w:tc>
        <w:tc>
          <w:tcPr>
            <w:tcW w:type="dxa" w:w="2186"/>
            <w:shd w:fill="F5F1E8" w:val="clear"/>
            <w:tcMar>
              <w:top w:type="dxa" w:w="80"/>
              <w:left w:type="dxa" w:w="100"/>
              <w:bottom w:type="dxa" w:w="80"/>
              <w:right w:type="dxa" w:w="100"/>
            </w:tcMar>
          </w:tcPr>
          <w:p>
            <w:pPr>
              <w:spacing w:after="0" w:line="240"/>
            </w:pPr>
            <w:r>
              <w:rPr>
                <w:sz w:val="17"/>
                <w:szCs w:val="17"/>
              </w:rPr>
              <w:t xml:space="preserve">UAE plan: ~9,000 return points (~1,250 people/point) - 3,500 RVMs + ~5,500 manual/HoReCa points</w:t>
            </w:r>
          </w:p>
        </w:tc>
      </w:tr>
      <w:tr>
        <w:tc>
          <w:tcPr>
            <w:tcW w:type="dxa" w:w="2184"/>
            <w:shd w:fill="FFFFFF" w:val="clear"/>
            <w:tcMar>
              <w:top w:type="dxa" w:w="80"/>
              <w:left w:type="dxa" w:w="100"/>
              <w:bottom w:type="dxa" w:w="80"/>
              <w:right w:type="dxa" w:w="100"/>
            </w:tcMar>
          </w:tcPr>
          <w:p>
            <w:pPr>
              <w:spacing w:after="0" w:line="240"/>
            </w:pPr>
            <w:r>
              <w:rPr>
                <w:sz w:val="17"/>
                <w:szCs w:val="17"/>
              </w:rPr>
              <w:t xml:space="preserve">9</w:t>
            </w:r>
          </w:p>
        </w:tc>
        <w:tc>
          <w:tcPr>
            <w:tcW w:type="dxa" w:w="2184"/>
            <w:shd w:fill="FFFFFF" w:val="clear"/>
            <w:tcMar>
              <w:top w:type="dxa" w:w="80"/>
              <w:left w:type="dxa" w:w="100"/>
              <w:bottom w:type="dxa" w:w="80"/>
              <w:right w:type="dxa" w:w="100"/>
            </w:tcMar>
          </w:tcPr>
          <w:p>
            <w:pPr>
              <w:spacing w:after="0" w:line="240"/>
            </w:pPr>
            <w:r>
              <w:rPr>
                <w:b/>
                <w:bCs/>
                <w:sz w:val="17"/>
                <w:szCs w:val="17"/>
              </w:rPr>
              <w:t xml:space="preserve">Centralised barcode registration, deposit logo, single clearing entity</w:t>
            </w:r>
          </w:p>
        </w:tc>
        <w:tc>
          <w:tcPr>
            <w:tcW w:type="dxa" w:w="2184"/>
            <w:shd w:fill="FFFFFF" w:val="clear"/>
            <w:tcMar>
              <w:top w:type="dxa" w:w="80"/>
              <w:left w:type="dxa" w:w="100"/>
              <w:bottom w:type="dxa" w:w="80"/>
              <w:right w:type="dxa" w:w="100"/>
            </w:tcMar>
          </w:tcPr>
          <w:p>
            <w:pPr>
              <w:spacing w:after="0" w:line="240"/>
            </w:pPr>
            <w:r>
              <w:rPr>
                <w:sz w:val="17"/>
                <w:szCs w:val="17"/>
              </w:rPr>
              <w:t xml:space="preserve">Standard fraud control across all benchmark systems; international-barcode surcharges price cross-border risk (Estonia, Slovakia, Malta, Ireland)</w:t>
            </w:r>
          </w:p>
        </w:tc>
        <w:tc>
          <w:tcPr>
            <w:tcW w:type="dxa" w:w="2186"/>
            <w:shd w:fill="FFFFFF" w:val="clear"/>
            <w:tcMar>
              <w:top w:type="dxa" w:w="80"/>
              <w:left w:type="dxa" w:w="100"/>
              <w:bottom w:type="dxa" w:w="80"/>
              <w:right w:type="dxa" w:w="100"/>
            </w:tcMar>
          </w:tcPr>
          <w:p>
            <w:pPr>
              <w:spacing w:after="0" w:line="240"/>
            </w:pPr>
            <w:r>
              <w:rPr>
                <w:sz w:val="17"/>
                <w:szCs w:val="17"/>
              </w:rPr>
              <w:t xml:space="preserve">Central IT clearing platform (AED 30m CAPEX); mandatory UAE deposit mark; moderate deposit limits fraud incentive (USAD balance principle)</w:t>
            </w:r>
          </w:p>
        </w:tc>
      </w:tr>
      <w:tr>
        <w:tc>
          <w:tcPr>
            <w:tcW w:type="dxa" w:w="2184"/>
            <w:shd w:fill="F5F1E8" w:val="clear"/>
            <w:tcMar>
              <w:top w:type="dxa" w:w="80"/>
              <w:left w:type="dxa" w:w="100"/>
              <w:bottom w:type="dxa" w:w="80"/>
              <w:right w:type="dxa" w:w="100"/>
            </w:tcMar>
          </w:tcPr>
          <w:p>
            <w:pPr>
              <w:spacing w:after="0" w:line="240"/>
            </w:pPr>
            <w:r>
              <w:rPr>
                <w:sz w:val="17"/>
                <w:szCs w:val="17"/>
              </w:rPr>
              <w:t xml:space="preserve">10</w:t>
            </w:r>
          </w:p>
        </w:tc>
        <w:tc>
          <w:tcPr>
            <w:tcW w:type="dxa" w:w="2184"/>
            <w:shd w:fill="F5F1E8" w:val="clear"/>
            <w:tcMar>
              <w:top w:type="dxa" w:w="80"/>
              <w:left w:type="dxa" w:w="100"/>
              <w:bottom w:type="dxa" w:w="80"/>
              <w:right w:type="dxa" w:w="100"/>
            </w:tcMar>
          </w:tcPr>
          <w:p>
            <w:pPr>
              <w:spacing w:after="0" w:line="240"/>
            </w:pPr>
            <w:r>
              <w:rPr>
                <w:b/>
                <w:bCs/>
                <w:sz w:val="17"/>
                <w:szCs w:val="17"/>
              </w:rPr>
              <w:t xml:space="preserve">Secure legal and stakeholder alignment before contracts</w:t>
            </w:r>
          </w:p>
        </w:tc>
        <w:tc>
          <w:tcPr>
            <w:tcW w:type="dxa" w:w="2184"/>
            <w:shd w:fill="F5F1E8" w:val="clear"/>
            <w:tcMar>
              <w:top w:type="dxa" w:w="80"/>
              <w:left w:type="dxa" w:w="100"/>
              <w:bottom w:type="dxa" w:w="80"/>
              <w:right w:type="dxa" w:w="100"/>
            </w:tcMar>
          </w:tcPr>
          <w:p>
            <w:pPr>
              <w:spacing w:after="0" w:line="240"/>
            </w:pPr>
            <w:r>
              <w:rPr>
                <w:sz w:val="17"/>
                <w:szCs w:val="17"/>
              </w:rPr>
              <w:t xml:space="preserve">Scotland: £86m operator collapse, £166m lawsuit; Spain: mandated but stalled (Insider, 2023; PPWR Atlas, 2026)</w:t>
            </w:r>
          </w:p>
        </w:tc>
        <w:tc>
          <w:tcPr>
            <w:tcW w:type="dxa" w:w="2186"/>
            <w:shd w:fill="F5F1E8" w:val="clear"/>
            <w:tcMar>
              <w:top w:type="dxa" w:w="80"/>
              <w:left w:type="dxa" w:w="100"/>
              <w:bottom w:type="dxa" w:w="80"/>
              <w:right w:type="dxa" w:w="100"/>
            </w:tcMar>
          </w:tcPr>
          <w:p>
            <w:pPr>
              <w:spacing w:after="0" w:line="240"/>
            </w:pPr>
            <w:r>
              <w:rPr>
                <w:sz w:val="17"/>
                <w:szCs w:val="17"/>
              </w:rPr>
              <w:t xml:space="preserve">Federal scope alignment, operator capitalisation for delay, early retail-compensation design, incumbent-sector engagement - sequenced in the implementation roadmap (Chapter 8)</w:t>
            </w:r>
          </w:p>
        </w:tc>
      </w:tr>
    </w:tbl>
    <w:p>
      <w:pPr>
        <w:spacing w:after="200"/>
      </w:pPr>
      <w:r>
        <w:rPr>
          <w:sz w:val="8"/>
          <w:szCs w:val="8"/>
        </w:rPr>
        <w:t xml:space="preserve"/>
      </w:r>
    </w:p>
    <w:p>
      <w:pPr>
        <w:spacing w:after="160" w:line="300"/>
        <w:jc w:val="both"/>
      </w:pPr>
      <w:r>
        <w:rPr>
          <w:b/>
          <w:bCs/>
        </w:rPr>
        <w:t xml:space="preserve">The strategic conclusion.</w:t>
      </w:r>
      <w:r>
        <w:t xml:space="preserve"> The international evidence is no longer about </w:t>
      </w:r>
      <w:r>
        <w:rPr>
          <w:i/>
          <w:iCs/>
        </w:rPr>
        <w:t xml:space="preserve">whether</w:t>
      </w:r>
      <w:r>
        <w:t xml:space="preserve"> deposit return works - a 91% European median versus sub-50% kerbside collection settles that question - but about </w:t>
      </w:r>
      <w:r>
        <w:rPr>
          <w:i/>
          <w:iCs/>
        </w:rPr>
        <w:t xml:space="preserve">how fast</w:t>
      </w:r>
      <w:r>
        <w:t xml:space="preserve"> a well-designed system reaches 90% and </w:t>
      </w:r>
      <w:r>
        <w:rPr>
          <w:i/>
          <w:iCs/>
        </w:rPr>
        <w:t xml:space="preserve">how cleanly</w:t>
      </w:r>
      <w:r>
        <w:t xml:space="preserve"> it is governed. Every design choice that history rewards is embedded in the UAE proposal that follows; every failure mode history records - Scotland's legal misalignment, Spain's incumbent capture, Hungary's retailer friction, Germany's unredeemed-deposit leakage - is engineered out by design.</w:t>
      </w:r>
    </w:p>
    <w:p>
      <w:pPr>
        <w:pageBreakBefore/>
        <w:spacing w:after="80" w:before="0"/>
      </w:pPr>
      <w:r>
        <w:rPr>
          <w:rFonts w:ascii="Georgia" w:cs="Georgia" w:eastAsia="Georgia" w:hAnsi="Georgia"/>
          <w:b/>
          <w:bCs/>
          <w:color w:val="C9A227"/>
          <w:spacing w:val="40"/>
          <w:sz w:val="20"/>
          <w:szCs w:val="20"/>
        </w:rPr>
        <w:t xml:space="preserve">CHAPTER 5</w:t>
      </w:r>
    </w:p>
    <w:p>
      <w:pPr>
        <w:pStyle w:val="Heading1"/>
        <w:pBdr>
          <w:bottom w:val="single" w:color="C9A227" w:sz="10" w:space="4"/>
        </w:pBdr>
        <w:spacing w:after="280"/>
      </w:pPr>
      <w:r>
        <w:rPr>
          <w:rFonts w:ascii="Georgia" w:cs="Georgia" w:eastAsia="Georgia" w:hAnsi="Georgia"/>
          <w:b/>
          <w:bCs/>
          <w:color w:val="1B2A4A"/>
          <w:sz w:val="44"/>
          <w:szCs w:val="44"/>
        </w:rPr>
        <w:t xml:space="preserve">UAE Market Assessment</w:t>
      </w:r>
    </w:p>
    <w:p>
      <w:pPr>
        <w:pStyle w:val="Heading2"/>
        <w:keepNext/>
        <w:spacing w:after="140" w:before="340"/>
      </w:pPr>
      <w:r>
        <w:rPr>
          <w:rFonts w:ascii="Georgia" w:cs="Georgia" w:eastAsia="Georgia" w:hAnsi="Georgia"/>
          <w:b/>
          <w:bCs/>
          <w:color w:val="1B2A4A"/>
          <w:sz w:val="30"/>
          <w:szCs w:val="30"/>
        </w:rPr>
        <w:t xml:space="preserve">5.0 Chapter Summary</w:t>
      </w:r>
    </w:p>
    <w:p>
      <w:pPr>
        <w:spacing w:after="160" w:line="300"/>
        <w:jc w:val="both"/>
      </w:pPr>
      <w:r>
        <w:t xml:space="preserve">The United Arab Emirates presents one of the world's most compelling structural cases for a Deposit Return System (DRS): the highest per-capita bottled-water consumption globally, a young and growing population concentrated in three emirates, a modern but under-utilised recycling asset base, and a policy architecture - EPR pilot, single-use plastics ban, tiered sugar excise - already moving decisively toward producer responsibility. Our central estimate places </w:t>
      </w:r>
      <w:r>
        <w:rPr>
          <w:b/>
          <w:bCs/>
        </w:rPr>
        <w:t xml:space="preserve">2.8-4.5 billion DRS-eligible containers on the market each year</w:t>
      </w:r>
      <w:r>
        <w:t xml:space="preserve"> (PET 2.1-3.8 billion, aluminium cans ~660 million, glass pending validation), against a voluntary collection infrastructure that today captures only a low-single-digit share of that flow. The gap between consumption scale and collection reality is the market opportunity this study addresses.</w:t>
      </w:r>
    </w:p>
    <w:p>
      <w:pPr>
        <w:pBdr>
          <w:left w:val="single" w:color="C9A227" w:sz="18"/>
        </w:pBdr>
        <w:shd w:fill="F5F1E8" w:val="clear"/>
        <w:spacing w:after="100" w:before="60" w:line="280"/>
        <w:ind w:left="260" w:right="260"/>
      </w:pPr>
      <w:r>
        <w:rPr>
          <w:b/>
          <w:bCs/>
          <w:color w:val="1B2A4A"/>
          <w:sz w:val="20"/>
          <w:szCs w:val="20"/>
        </w:rPr>
        <w:t xml:space="preserve">The UAE consumes beverage containers at world-leading intensity - and recovers them at world-lagging rates. That asymmetry is the DRS business case in a single sentence.</w:t>
      </w:r>
    </w:p>
    <w:p>
      <w:pPr>
        <w:spacing w:after="120"/>
      </w:pPr>
      <w:r>
        <w:rPr>
          <w:sz w:val="8"/>
          <w:szCs w:val="8"/>
        </w:rPr>
        <w:t xml:space="preserve"/>
      </w:r>
    </w:p>
    <w:p>
      <w:pPr>
        <w:spacing w:after="160" w:line="300"/>
        <w:jc w:val="both"/>
      </w:pPr>
      <w:r>
        <w:rPr>
          <w:b/>
          <w:bCs/>
        </w:rPr>
        <w:t xml:space="preserve">Data discipline.</w:t>
      </w:r>
      <w:r>
        <w:t xml:space="preserve"> Throughout this chapter, figures are labelled </w:t>
      </w:r>
      <w:r>
        <w:rPr>
          <w:b/>
          <w:bCs/>
        </w:rPr>
        <w:t xml:space="preserve">[PUBLISHED]</w:t>
      </w:r>
      <w:r>
        <w:t xml:space="preserve"> (government, corporate-primary, or academic sources) or </w:t>
      </w:r>
      <w:r>
        <w:rPr>
          <w:b/>
          <w:bCs/>
        </w:rPr>
        <w:t xml:space="preserve">[ESTIMATE]</w:t>
      </w:r>
      <w:r>
        <w:t xml:space="preserve"> (market-research models and analyst estimates). Where no credible figure exists, we flag a data gap rather than invent one. All modelled container volumes carry the market survey's standing caveat: </w:t>
      </w:r>
      <w:r>
        <w:rPr>
          <w:i/>
          <w:iCs/>
        </w:rPr>
        <w:t xml:space="preserve">estimates require validation with producer/importer SKU-level data before policy design</w:t>
      </w:r>
      <w:r>
        <w:t xml:space="preserve"> (UAE DRS Market Survey, 2026).</w:t>
      </w:r>
    </w:p>
    <w:p>
      <w:pPr>
        <w:spacing w:after="40" w:before="200"/>
        <w:jc w:val="center"/>
      </w:pPr>
      <w:r>
        <w:drawing>
          <wp:inline distT="0" distB="0" distL="0" distR="0">
            <wp:extent cx="5524500" cy="1981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524500" cy="1981200"/>
                    </a:xfrm>
                    <a:prstGeom prst="rect">
                      <a:avLst/>
                    </a:prstGeom>
                  </pic:spPr>
                </pic:pic>
              </a:graphicData>
            </a:graphic>
          </wp:inline>
        </w:drawing>
      </w:r>
    </w:p>
    <w:p>
      <w:pPr>
        <w:spacing w:after="240" w:before="40"/>
        <w:jc w:val="center"/>
      </w:pPr>
      <w:r>
        <w:rPr>
          <w:rFonts w:ascii="Calibri" w:cs="Calibri" w:eastAsia="Calibri" w:hAnsi="Calibri"/>
          <w:i/>
          <w:iCs/>
          <w:color w:val="4A6580"/>
          <w:sz w:val="17"/>
          <w:szCs w:val="17"/>
        </w:rPr>
        <w:t xml:space="preserve">The UAE at a glance - population, consumption intensity, container flows and disposal economics.</w:t>
      </w:r>
    </w:p>
    <w:p>
      <w:pPr>
        <w:pStyle w:val="Heading2"/>
        <w:keepNext/>
        <w:spacing w:after="140" w:before="340"/>
      </w:pPr>
      <w:r>
        <w:rPr>
          <w:rFonts w:ascii="Georgia" w:cs="Georgia" w:eastAsia="Georgia" w:hAnsi="Georgia"/>
          <w:b/>
          <w:bCs/>
          <w:color w:val="1B2A4A"/>
          <w:sz w:val="30"/>
          <w:szCs w:val="30"/>
        </w:rPr>
        <w:t xml:space="preserve">5.1 Population &amp; Consumption Context</w:t>
      </w:r>
    </w:p>
    <w:p>
      <w:pPr>
        <w:pStyle w:val="Heading3"/>
        <w:keepNext/>
        <w:spacing w:after="110" w:before="260"/>
      </w:pPr>
      <w:r>
        <w:rPr>
          <w:rFonts w:ascii="Calibri" w:cs="Calibri" w:eastAsia="Calibri" w:hAnsi="Calibri"/>
          <w:b/>
          <w:bCs/>
          <w:color w:val="4A6580"/>
          <w:sz w:val="24"/>
          <w:szCs w:val="24"/>
        </w:rPr>
        <w:t xml:space="preserve">5.1.1 Demographics and demand drivers</w:t>
      </w:r>
    </w:p>
    <w:p>
      <w:pPr>
        <w:spacing w:after="160" w:line="300"/>
        <w:jc w:val="both"/>
      </w:pPr>
      <w:r>
        <w:t xml:space="preserve">The UAE's population reached </w:t>
      </w:r>
      <w:r>
        <w:rPr>
          <w:b/>
          <w:bCs/>
        </w:rPr>
        <w:t xml:space="preserve">11,294,243 residents in 2024, up 5.7% year-on-year</w:t>
      </w:r>
      <w:r>
        <w:t xml:space="preserve"> </w:t>
      </w:r>
      <w:r>
        <w:rPr>
          <w:b/>
          <w:bCs/>
        </w:rPr>
        <w:t xml:space="preserve">[PUBLISHED]</w:t>
      </w:r>
      <w:r>
        <w:t xml:space="preserve"> (FCSC via Gulf News, 2025), concentrated overwhelmingly in Abu Dhabi, Dubai and Sharjah; Dubai alone passed four million residents in September 2025. Tourism adds a large transient consumption layer - approximately </w:t>
      </w:r>
      <w:r>
        <w:rPr>
          <w:b/>
          <w:bCs/>
        </w:rPr>
        <w:t xml:space="preserve">19.6 million visitors in 2025</w:t>
      </w:r>
      <w:r>
        <w:t xml:space="preserve"> </w:t>
      </w:r>
      <w:r>
        <w:rPr>
          <w:b/>
          <w:bCs/>
        </w:rPr>
        <w:t xml:space="preserve">[ESTIMATE]</w:t>
      </w:r>
      <w:r>
        <w:t xml:space="preserve"> (IMARC, 2026) - alongside GDP per capita of roughly </w:t>
      </w:r>
      <w:r>
        <w:rPr>
          <w:b/>
          <w:bCs/>
        </w:rPr>
        <w:t xml:space="preserve">USD 50,000</w:t>
      </w:r>
      <w:r>
        <w:t xml:space="preserve"> (World Bank via Mordor Intelligence, 2025).</w:t>
      </w:r>
    </w:p>
    <w:p>
      <w:pPr>
        <w:spacing w:after="160" w:line="300"/>
        <w:jc w:val="both"/>
      </w:pPr>
      <w:r>
        <w:t xml:space="preserve">Three structural forces make beverage-container consumption uniquely intense:</w:t>
      </w:r>
    </w:p>
    <w:p>
      <w:pPr>
        <w:spacing w:after="90" w:line="290"/>
        <w:ind w:left="380" w:hanging="180"/>
      </w:pPr>
      <w:r>
        <w:rPr>
          <w:b/>
          <w:bCs/>
          <w:color w:val="1B2A4A"/>
        </w:rPr>
        <w:t xml:space="preserve">1. </w:t>
      </w:r>
      <w:r>
        <w:rPr>
          <w:b/>
          <w:bCs/>
        </w:rPr>
        <w:t xml:space="preserve">Climate and hydration demand.</w:t>
      </w:r>
      <w:r>
        <w:t xml:space="preserve"> Extreme heat drives year-round cold-beverage consumption through on-the-go channels.</w:t>
      </w:r>
    </w:p>
    <w:p>
      <w:pPr>
        <w:spacing w:after="90" w:line="290"/>
        <w:ind w:left="380" w:hanging="180"/>
      </w:pPr>
      <w:r>
        <w:rPr>
          <w:b/>
          <w:bCs/>
          <w:color w:val="1B2A4A"/>
        </w:rPr>
        <w:t xml:space="preserve">2. </w:t>
      </w:r>
      <w:r>
        <w:rPr>
          <w:b/>
          <w:bCs/>
        </w:rPr>
        <w:t xml:space="preserve">Tap-water distrust.</w:t>
      </w:r>
      <w:r>
        <w:t xml:space="preserve"> Desalination-based supply has entrenched bottled water as the default drinking-water source; WAM has reported UAE per-capita bottled-water consumption of </w:t>
      </w:r>
      <w:r>
        <w:rPr>
          <w:b/>
          <w:bCs/>
        </w:rPr>
        <w:t xml:space="preserve">265 litres/year - the highest in the world</w:t>
      </w:r>
      <w:r>
        <w:t xml:space="preserve"> </w:t>
      </w:r>
      <w:r>
        <w:rPr>
          <w:b/>
          <w:bCs/>
        </w:rPr>
        <w:t xml:space="preserve">[PUBLISHED, undated]</w:t>
      </w:r>
      <w:r>
        <w:t xml:space="preserve"> (WAM), with market-research estimates clustering at </w:t>
      </w:r>
      <w:r>
        <w:rPr>
          <w:b/>
          <w:bCs/>
        </w:rPr>
        <w:t xml:space="preserve">250-300 litres per capita</w:t>
      </w:r>
      <w:r>
        <w:t xml:space="preserve"> </w:t>
      </w:r>
      <w:r>
        <w:rPr>
          <w:b/>
          <w:bCs/>
        </w:rPr>
        <w:t xml:space="preserve">[ESTIMATE]</w:t>
      </w:r>
      <w:r>
        <w:t xml:space="preserve"> (MarkNtel; Verified Market Research, 2026).</w:t>
      </w:r>
    </w:p>
    <w:p>
      <w:pPr>
        <w:spacing w:after="90" w:line="290"/>
        <w:ind w:left="380" w:hanging="180"/>
      </w:pPr>
      <w:r>
        <w:rPr>
          <w:b/>
          <w:bCs/>
          <w:color w:val="1B2A4A"/>
        </w:rPr>
        <w:t xml:space="preserve">3. </w:t>
      </w:r>
      <w:r>
        <w:rPr>
          <w:b/>
          <w:bCs/>
        </w:rPr>
        <w:t xml:space="preserve">A large on-trade.</w:t>
      </w:r>
      <w:r>
        <w:t xml:space="preserve"> Dubai alone operates 800+ hotels and 140,000+ rooms (IMARC, 2026), sustaining a hospitality channel with distinct container flows (glass, premium formats).</w:t>
      </w:r>
    </w:p>
    <w:p>
      <w:pPr>
        <w:spacing w:after="160" w:line="300"/>
        <w:jc w:val="both"/>
      </w:pPr>
      <w:r>
        <w:t xml:space="preserve">Academic measurement corroborates the intensity: the typical UAE resident uses approximately </w:t>
      </w:r>
      <w:r>
        <w:rPr>
          <w:b/>
          <w:bCs/>
        </w:rPr>
        <w:t xml:space="preserve">450 plastic water bottles per year</w:t>
      </w:r>
      <w:r>
        <w:t xml:space="preserve"> </w:t>
      </w:r>
      <w:r>
        <w:rPr>
          <w:b/>
          <w:bCs/>
        </w:rPr>
        <w:t xml:space="preserve">[PUBLISHED - academic]</w:t>
      </w:r>
      <w:r>
        <w:t xml:space="preserve"> (Alhosani, JESTEC, 2023; EcoMENA).</w:t>
      </w:r>
    </w:p>
    <w:p>
      <w:pPr>
        <w:pStyle w:val="Heading3"/>
        <w:keepNext/>
        <w:spacing w:after="110" w:before="260"/>
      </w:pPr>
      <w:r>
        <w:rPr>
          <w:rFonts w:ascii="Calibri" w:cs="Calibri" w:eastAsia="Calibri" w:hAnsi="Calibri"/>
          <w:b/>
          <w:bCs/>
          <w:color w:val="4A6580"/>
          <w:sz w:val="24"/>
          <w:szCs w:val="24"/>
        </w:rPr>
        <w:t xml:space="preserve">5.1.2 Beverage market value - directional, not precise</w:t>
      </w:r>
    </w:p>
    <w:p>
      <w:pPr>
        <w:spacing w:after="160" w:line="300"/>
        <w:jc w:val="both"/>
      </w:pPr>
      <w:r>
        <w:t xml:space="preserve">Syndicated estimates of the UAE bottled-water market diverge by a factor of 2.4× - USD 1.61 billion (IMARC, 2026) versus USD 3.81 billion (Mordor Intelligence, 2026) for 2025 - and carbonated soft drink (CSD) value estimates stand at USD 8.5 billion (Grand View Horizon, 2026). We treat these as </w:t>
      </w:r>
      <w:r>
        <w:rPr>
          <w:b/>
          <w:bCs/>
        </w:rPr>
        <w:t xml:space="preserve">[ESTIMATE - directional only]</w:t>
      </w:r>
      <w:r>
        <w:t xml:space="preserve"> and deliberately build the DRS sizing on </w:t>
      </w:r>
      <w:r>
        <w:rPr>
          <w:b/>
          <w:bCs/>
        </w:rPr>
        <w:t xml:space="preserve">unit volumes</w:t>
      </w:r>
      <w:r>
        <w:t xml:space="preserve">, not value. Energy-drink estimates show a 3-4× inter-source spread and are excluded from planning.</w:t>
      </w:r>
    </w:p>
    <w:p>
      <w:pPr>
        <w:pStyle w:val="Heading3"/>
        <w:keepNext/>
        <w:spacing w:after="110" w:before="260"/>
      </w:pPr>
      <w:r>
        <w:rPr>
          <w:rFonts w:ascii="Calibri" w:cs="Calibri" w:eastAsia="Calibri" w:hAnsi="Calibri"/>
          <w:b/>
          <w:bCs/>
          <w:color w:val="4A6580"/>
          <w:sz w:val="24"/>
          <w:szCs w:val="24"/>
        </w:rPr>
        <w:t xml:space="preserve">5.1.3 Policy tailwinds already in force</w:t>
      </w:r>
    </w:p>
    <w:p>
      <w:pPr>
        <w:spacing w:after="160" w:line="300"/>
        <w:jc w:val="both"/>
      </w:pPr>
      <w:r>
        <w:t xml:space="preserve">The consumption context is inseparable from a rapidly tightening policy frame:</w:t>
      </w:r>
    </w:p>
    <w:p>
      <w:pPr>
        <w:spacing w:after="90" w:line="290"/>
        <w:ind w:left="380" w:hanging="180"/>
      </w:pPr>
      <w:r>
        <w:rPr>
          <w:b/>
          <w:bCs/>
          <w:color w:val="C9A227"/>
        </w:rPr>
        <w:t xml:space="preserve">• </w:t>
      </w:r>
      <w:r>
        <w:rPr>
          <w:b/>
          <w:bCs/>
        </w:rPr>
        <w:t xml:space="preserve">Federal single-use plastics ban</w:t>
      </w:r>
      <w:r>
        <w:t xml:space="preserve"> (Ministerial Decision No. 380 of 2022): Phase 2 took effect </w:t>
      </w:r>
      <w:r>
        <w:rPr>
          <w:b/>
          <w:bCs/>
        </w:rPr>
        <w:t xml:space="preserve">1 January 2026</w:t>
      </w:r>
      <w:r>
        <w:t xml:space="preserve">, banning plastic beverage cups, lids, cutlery, straws, stirrers, Styrofoam containers and all bags below 50 microns </w:t>
      </w:r>
      <w:r>
        <w:rPr>
          <w:b/>
          <w:bCs/>
        </w:rPr>
        <w:t xml:space="preserve">[PUBLISHED]</w:t>
      </w:r>
      <w:r>
        <w:t xml:space="preserve"> (Gulf News, 2025; Zawya, 2025).</w:t>
      </w:r>
    </w:p>
    <w:p>
      <w:pPr>
        <w:spacing w:after="90" w:line="290"/>
        <w:ind w:left="380" w:hanging="180"/>
      </w:pPr>
      <w:r>
        <w:rPr>
          <w:b/>
          <w:bCs/>
          <w:color w:val="C9A227"/>
        </w:rPr>
        <w:t xml:space="preserve">• </w:t>
      </w:r>
      <w:r>
        <w:rPr>
          <w:b/>
          <w:bCs/>
        </w:rPr>
        <w:t xml:space="preserve">EPR pilot</w:t>
      </w:r>
      <w:r>
        <w:t xml:space="preserve"> (MOCCAE + Tadweer Group as PRO): a six-month packaging/EEE/batteries pilot launched July 2025 in Abu Dhabi and Dubai with </w:t>
      </w:r>
      <w:r>
        <w:rPr>
          <w:b/>
          <w:bCs/>
        </w:rPr>
        <w:t xml:space="preserve">26 signatory companies</w:t>
      </w:r>
      <w:r>
        <w:t xml:space="preserve"> - including Bee'ah, Carrefour, Lulu, Tetra Pak, CANPACK, Tomra, Veolia and Sparklo - with a national EPR framework expected in 2026 </w:t>
      </w:r>
      <w:r>
        <w:rPr>
          <w:b/>
          <w:bCs/>
        </w:rPr>
        <w:t xml:space="preserve">[PUBLISHED]</w:t>
      </w:r>
      <w:r>
        <w:t xml:space="preserve"> (Packaging MEA, 2025; Waste &amp; Recycling ME, 2025).</w:t>
      </w:r>
    </w:p>
    <w:p>
      <w:pPr>
        <w:spacing w:after="90" w:line="290"/>
        <w:ind w:left="380" w:hanging="180"/>
      </w:pPr>
      <w:r>
        <w:rPr>
          <w:b/>
          <w:bCs/>
          <w:color w:val="C9A227"/>
        </w:rPr>
        <w:t xml:space="preserve">• </w:t>
      </w:r>
      <w:r>
        <w:rPr>
          <w:b/>
          <w:bCs/>
        </w:rPr>
        <w:t xml:space="preserve">Tiered sugar excise</w:t>
      </w:r>
      <w:r>
        <w:t xml:space="preserve"> from January 2026 (AED 0.79-1.09/L by sugar content; energy drinks remain at 100%), shifting the beverage mix further toward water </w:t>
      </w:r>
      <w:r>
        <w:rPr>
          <w:b/>
          <w:bCs/>
        </w:rPr>
        <w:t xml:space="preserve">[PUBLISHED]</w:t>
      </w:r>
      <w:r>
        <w:t xml:space="preserve"> (Aletihad, 2025; Cabinet Decision No. 197 of 2025).</w:t>
      </w:r>
    </w:p>
    <w:p>
      <w:pPr>
        <w:spacing w:after="90" w:line="290"/>
        <w:ind w:left="380" w:hanging="180"/>
      </w:pPr>
      <w:r>
        <w:rPr>
          <w:b/>
          <w:bCs/>
          <w:color w:val="C9A227"/>
        </w:rPr>
        <w:t xml:space="preserve">• </w:t>
      </w:r>
      <w:r>
        <w:rPr>
          <w:b/>
          <w:bCs/>
        </w:rPr>
        <w:t xml:space="preserve">National targets</w:t>
      </w:r>
      <w:r>
        <w:t xml:space="preserve">: 75% landfill-volume reduction by 2031; 80% diversion in Abu Dhabi; Dubai's Integrated Waste Management Strategy 2041 targets 100% landfill diversion (WAM; Dubai Municipality).</w:t>
      </w:r>
    </w:p>
    <w:p>
      <w:pPr>
        <w:spacing w:after="160" w:line="300"/>
        <w:jc w:val="both"/>
      </w:pPr>
      <w:r>
        <w:t xml:space="preserve">A DRS is the natural operational instrument for this policy trajectory: it is EPR made tangible at the point of sale.</w:t>
      </w:r>
    </w:p>
    <w:p>
      <w:pPr>
        <w:pStyle w:val="Heading2"/>
        <w:keepNext/>
        <w:spacing w:after="140" w:before="340"/>
      </w:pPr>
      <w:r>
        <w:rPr>
          <w:rFonts w:ascii="Georgia" w:cs="Georgia" w:eastAsia="Georgia" w:hAnsi="Georgia"/>
          <w:b/>
          <w:bCs/>
          <w:color w:val="1B2A4A"/>
          <w:sz w:val="30"/>
          <w:szCs w:val="30"/>
        </w:rPr>
        <w:t xml:space="preserve">5.2 Containers Placed on Market, by Material</w:t>
      </w:r>
    </w:p>
    <w:p>
      <w:pPr>
        <w:spacing w:after="160" w:line="300"/>
        <w:jc w:val="both"/>
      </w:pPr>
      <w:r>
        <w:t xml:space="preserve">This is the sizing foundation for the entire system. The table below separates published counts from modelled estimates explicitly.</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2184"/>
        <w:gridCol w:w="2184"/>
        <w:gridCol w:w="2184"/>
        <w:gridCol w:w="2186"/>
      </w:tblGrid>
      <w:tr>
        <w:trPr>
          <w:tblHeader/>
        </w:trPr>
        <w:tc>
          <w:tcPr>
            <w:tcW w:type="dxa" w:w="218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Material</w:t>
            </w:r>
          </w:p>
        </w:tc>
        <w:tc>
          <w:tcPr>
            <w:tcW w:type="dxa" w:w="218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Best available figure</w:t>
            </w:r>
          </w:p>
        </w:tc>
        <w:tc>
          <w:tcPr>
            <w:tcW w:type="dxa" w:w="218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Status</w:t>
            </w:r>
          </w:p>
        </w:tc>
        <w:tc>
          <w:tcPr>
            <w:tcW w:type="dxa" w:w="2186"/>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Source</w:t>
            </w:r>
          </w:p>
        </w:tc>
      </w:tr>
      <w:tr>
        <w:tc>
          <w:tcPr>
            <w:tcW w:type="dxa" w:w="2184"/>
            <w:shd w:fill="FFFFFF" w:val="clear"/>
            <w:tcMar>
              <w:top w:type="dxa" w:w="80"/>
              <w:left w:type="dxa" w:w="100"/>
              <w:bottom w:type="dxa" w:w="80"/>
              <w:right w:type="dxa" w:w="100"/>
            </w:tcMar>
          </w:tcPr>
          <w:p>
            <w:pPr>
              <w:spacing w:after="0" w:line="240"/>
            </w:pPr>
            <w:r>
              <w:rPr>
                <w:b/>
                <w:bCs/>
                <w:sz w:val="17"/>
                <w:szCs w:val="17"/>
              </w:rPr>
              <w:t xml:space="preserve">PET bottles (all beverages)</w:t>
            </w:r>
          </w:p>
        </w:tc>
        <w:tc>
          <w:tcPr>
            <w:tcW w:type="dxa" w:w="2184"/>
            <w:shd w:fill="FFFFFF" w:val="clear"/>
            <w:tcMar>
              <w:top w:type="dxa" w:w="80"/>
              <w:left w:type="dxa" w:w="100"/>
              <w:bottom w:type="dxa" w:w="80"/>
              <w:right w:type="dxa" w:w="100"/>
            </w:tcMar>
          </w:tcPr>
          <w:p>
            <w:pPr>
              <w:spacing w:after="0" w:line="240"/>
            </w:pPr>
            <w:r>
              <w:rPr>
                <w:b/>
                <w:bCs/>
                <w:sz w:val="17"/>
                <w:szCs w:val="17"/>
              </w:rPr>
              <w:t xml:space="preserve">2.1-3.8 billion units/yr</w:t>
            </w:r>
          </w:p>
        </w:tc>
        <w:tc>
          <w:tcPr>
            <w:tcW w:type="dxa" w:w="2184"/>
            <w:shd w:fill="FFFFFF" w:val="clear"/>
            <w:tcMar>
              <w:top w:type="dxa" w:w="80"/>
              <w:left w:type="dxa" w:w="100"/>
              <w:bottom w:type="dxa" w:w="80"/>
              <w:right w:type="dxa" w:w="100"/>
            </w:tcMar>
          </w:tcPr>
          <w:p>
            <w:pPr>
              <w:spacing w:after="0" w:line="240"/>
            </w:pPr>
            <w:r>
              <w:rPr>
                <w:b/>
                <w:bCs/>
                <w:sz w:val="17"/>
                <w:szCs w:val="17"/>
              </w:rPr>
              <w:t xml:space="preserve">[ESTIMATE - modelled]</w:t>
            </w:r>
          </w:p>
        </w:tc>
        <w:tc>
          <w:tcPr>
            <w:tcW w:type="dxa" w:w="2186"/>
            <w:shd w:fill="FFFFFF" w:val="clear"/>
            <w:tcMar>
              <w:top w:type="dxa" w:w="80"/>
              <w:left w:type="dxa" w:w="100"/>
              <w:bottom w:type="dxa" w:w="80"/>
              <w:right w:type="dxa" w:w="100"/>
            </w:tcMar>
          </w:tcPr>
          <w:p>
            <w:pPr>
              <w:spacing w:after="0" w:line="240"/>
            </w:pPr>
            <w:r>
              <w:rPr>
                <w:sz w:val="17"/>
                <w:szCs w:val="17"/>
              </w:rPr>
              <w:t xml:space="preserve">UAE DRS Market Survey (2026), Appendix A sizing chain</w:t>
            </w:r>
          </w:p>
        </w:tc>
      </w:tr>
      <w:tr>
        <w:tc>
          <w:tcPr>
            <w:tcW w:type="dxa" w:w="2184"/>
            <w:shd w:fill="F5F1E8" w:val="clear"/>
            <w:tcMar>
              <w:top w:type="dxa" w:w="80"/>
              <w:left w:type="dxa" w:w="100"/>
              <w:bottom w:type="dxa" w:w="80"/>
              <w:right w:type="dxa" w:w="100"/>
            </w:tcMar>
          </w:tcPr>
          <w:p>
            <w:pPr>
              <w:spacing w:after="0" w:line="240"/>
            </w:pPr>
            <w:r>
              <w:rPr>
                <w:sz w:val="17"/>
                <w:szCs w:val="17"/>
              </w:rPr>
              <w:t xml:space="preserve">- of which water bottles</w:t>
            </w:r>
          </w:p>
        </w:tc>
        <w:tc>
          <w:tcPr>
            <w:tcW w:type="dxa" w:w="2184"/>
            <w:shd w:fill="F5F1E8" w:val="clear"/>
            <w:tcMar>
              <w:top w:type="dxa" w:w="80"/>
              <w:left w:type="dxa" w:w="100"/>
              <w:bottom w:type="dxa" w:w="80"/>
              <w:right w:type="dxa" w:w="100"/>
            </w:tcMar>
          </w:tcPr>
          <w:p>
            <w:pPr>
              <w:spacing w:after="0" w:line="240"/>
            </w:pPr>
            <w:r>
              <w:rPr>
                <w:sz w:val="17"/>
                <w:szCs w:val="17"/>
              </w:rPr>
              <w:t xml:space="preserve">1.7-3.0 billion units/yr</w:t>
            </w:r>
          </w:p>
        </w:tc>
        <w:tc>
          <w:tcPr>
            <w:tcW w:type="dxa" w:w="2184"/>
            <w:shd w:fill="F5F1E8" w:val="clear"/>
            <w:tcMar>
              <w:top w:type="dxa" w:w="80"/>
              <w:left w:type="dxa" w:w="100"/>
              <w:bottom w:type="dxa" w:w="80"/>
              <w:right w:type="dxa" w:w="100"/>
            </w:tcMar>
          </w:tcPr>
          <w:p>
            <w:pPr>
              <w:spacing w:after="0" w:line="240"/>
            </w:pPr>
            <w:r>
              <w:rPr>
                <w:sz w:val="17"/>
                <w:szCs w:val="17"/>
              </w:rPr>
              <w:t xml:space="preserve">[ESTIMATE - modelled]</w:t>
            </w:r>
          </w:p>
        </w:tc>
        <w:tc>
          <w:tcPr>
            <w:tcW w:type="dxa" w:w="2186"/>
            <w:shd w:fill="F5F1E8" w:val="clear"/>
            <w:tcMar>
              <w:top w:type="dxa" w:w="80"/>
              <w:left w:type="dxa" w:w="100"/>
              <w:bottom w:type="dxa" w:w="80"/>
              <w:right w:type="dxa" w:w="100"/>
            </w:tcMar>
          </w:tcPr>
          <w:p>
            <w:pPr>
              <w:spacing w:after="0" w:line="240"/>
            </w:pPr>
            <w:r>
              <w:rPr>
                <w:sz w:val="17"/>
                <w:szCs w:val="17"/>
              </w:rPr>
              <w:t xml:space="preserve">Survey: 55% one-way PET share ÷ 0.60L avg</w:t>
            </w:r>
          </w:p>
        </w:tc>
      </w:tr>
      <w:tr>
        <w:tc>
          <w:tcPr>
            <w:tcW w:type="dxa" w:w="2184"/>
            <w:shd w:fill="FFFFFF" w:val="clear"/>
            <w:tcMar>
              <w:top w:type="dxa" w:w="80"/>
              <w:left w:type="dxa" w:w="100"/>
              <w:bottom w:type="dxa" w:w="80"/>
              <w:right w:type="dxa" w:w="100"/>
            </w:tcMar>
          </w:tcPr>
          <w:p>
            <w:pPr>
              <w:spacing w:after="0" w:line="240"/>
            </w:pPr>
            <w:r>
              <w:rPr>
                <w:sz w:val="17"/>
                <w:szCs w:val="17"/>
              </w:rPr>
              <w:t xml:space="preserve">- cross-check (water only)</w:t>
            </w:r>
          </w:p>
        </w:tc>
        <w:tc>
          <w:tcPr>
            <w:tcW w:type="dxa" w:w="2184"/>
            <w:shd w:fill="FFFFFF" w:val="clear"/>
            <w:tcMar>
              <w:top w:type="dxa" w:w="80"/>
              <w:left w:type="dxa" w:w="100"/>
              <w:bottom w:type="dxa" w:w="80"/>
              <w:right w:type="dxa" w:w="100"/>
            </w:tcMar>
          </w:tcPr>
          <w:p>
            <w:pPr>
              <w:spacing w:after="0" w:line="240"/>
            </w:pPr>
            <w:r>
              <w:rPr>
                <w:sz w:val="17"/>
                <w:szCs w:val="17"/>
              </w:rPr>
              <w:t xml:space="preserve">~5 billion 0.5L bottles/yr (~58 kt PET resin)</w:t>
            </w:r>
          </w:p>
        </w:tc>
        <w:tc>
          <w:tcPr>
            <w:tcW w:type="dxa" w:w="2184"/>
            <w:shd w:fill="FFFFFF" w:val="clear"/>
            <w:tcMar>
              <w:top w:type="dxa" w:w="80"/>
              <w:left w:type="dxa" w:w="100"/>
              <w:bottom w:type="dxa" w:w="80"/>
              <w:right w:type="dxa" w:w="100"/>
            </w:tcMar>
          </w:tcPr>
          <w:p>
            <w:pPr>
              <w:spacing w:after="0" w:line="240"/>
            </w:pPr>
            <w:r>
              <w:rPr>
                <w:sz w:val="17"/>
                <w:szCs w:val="17"/>
              </w:rPr>
              <w:t xml:space="preserve">[ESTIMATE - academic, bottler-based]</w:t>
            </w:r>
          </w:p>
        </w:tc>
        <w:tc>
          <w:tcPr>
            <w:tcW w:type="dxa" w:w="2186"/>
            <w:shd w:fill="FFFFFF" w:val="clear"/>
            <w:tcMar>
              <w:top w:type="dxa" w:w="80"/>
              <w:left w:type="dxa" w:w="100"/>
              <w:bottom w:type="dxa" w:w="80"/>
              <w:right w:type="dxa" w:w="100"/>
            </w:tcMar>
          </w:tcPr>
          <w:p>
            <w:pPr>
              <w:spacing w:after="0" w:line="240"/>
            </w:pPr>
            <w:r>
              <w:rPr>
                <w:sz w:val="17"/>
                <w:szCs w:val="17"/>
              </w:rPr>
              <w:t xml:space="preserve">Jadayil et al., MDPI Recycling (2023)</w:t>
            </w:r>
          </w:p>
        </w:tc>
      </w:tr>
      <w:tr>
        <w:tc>
          <w:tcPr>
            <w:tcW w:type="dxa" w:w="2184"/>
            <w:shd w:fill="F5F1E8" w:val="clear"/>
            <w:tcMar>
              <w:top w:type="dxa" w:w="80"/>
              <w:left w:type="dxa" w:w="100"/>
              <w:bottom w:type="dxa" w:w="80"/>
              <w:right w:type="dxa" w:w="100"/>
            </w:tcMar>
          </w:tcPr>
          <w:p>
            <w:pPr>
              <w:spacing w:after="0" w:line="240"/>
            </w:pPr>
            <w:r>
              <w:rPr>
                <w:b/>
                <w:bCs/>
                <w:sz w:val="17"/>
                <w:szCs w:val="17"/>
              </w:rPr>
              <w:t xml:space="preserve">Aluminium cans</w:t>
            </w:r>
          </w:p>
        </w:tc>
        <w:tc>
          <w:tcPr>
            <w:tcW w:type="dxa" w:w="2184"/>
            <w:shd w:fill="F5F1E8" w:val="clear"/>
            <w:tcMar>
              <w:top w:type="dxa" w:w="80"/>
              <w:left w:type="dxa" w:w="100"/>
              <w:bottom w:type="dxa" w:w="80"/>
              <w:right w:type="dxa" w:w="100"/>
            </w:tcMar>
          </w:tcPr>
          <w:p>
            <w:pPr>
              <w:spacing w:after="0" w:line="240"/>
            </w:pPr>
            <w:r>
              <w:rPr>
                <w:b/>
                <w:bCs/>
                <w:sz w:val="17"/>
                <w:szCs w:val="17"/>
              </w:rPr>
              <w:t xml:space="preserve">~660 million units/yr</w:t>
            </w:r>
            <w:r>
              <w:rPr>
                <w:sz w:val="17"/>
                <w:szCs w:val="17"/>
              </w:rPr>
              <w:t xml:space="preserve"> (60+ per resident; ~8,910 t at 13.5 g/can)</w:t>
            </w:r>
          </w:p>
        </w:tc>
        <w:tc>
          <w:tcPr>
            <w:tcW w:type="dxa" w:w="2184"/>
            <w:shd w:fill="F5F1E8" w:val="clear"/>
            <w:tcMar>
              <w:top w:type="dxa" w:w="80"/>
              <w:left w:type="dxa" w:w="100"/>
              <w:bottom w:type="dxa" w:w="80"/>
              <w:right w:type="dxa" w:w="100"/>
            </w:tcMar>
          </w:tcPr>
          <w:p>
            <w:pPr>
              <w:spacing w:after="0" w:line="240"/>
            </w:pPr>
            <w:r>
              <w:rPr>
                <w:b/>
                <w:bCs/>
                <w:sz w:val="17"/>
                <w:szCs w:val="17"/>
              </w:rPr>
              <w:t xml:space="preserve">[PUBLISHED]</w:t>
            </w:r>
          </w:p>
        </w:tc>
        <w:tc>
          <w:tcPr>
            <w:tcW w:type="dxa" w:w="2186"/>
            <w:shd w:fill="F5F1E8" w:val="clear"/>
            <w:tcMar>
              <w:top w:type="dxa" w:w="80"/>
              <w:left w:type="dxa" w:w="100"/>
              <w:bottom w:type="dxa" w:w="80"/>
              <w:right w:type="dxa" w:w="100"/>
            </w:tcMar>
          </w:tcPr>
          <w:p>
            <w:pPr>
              <w:spacing w:after="0" w:line="240"/>
            </w:pPr>
            <w:r>
              <w:rPr>
                <w:sz w:val="17"/>
                <w:szCs w:val="17"/>
              </w:rPr>
              <w:t xml:space="preserve">EGA (2024); corroborated by IAI (2025)</w:t>
            </w:r>
          </w:p>
        </w:tc>
      </w:tr>
      <w:tr>
        <w:tc>
          <w:tcPr>
            <w:tcW w:type="dxa" w:w="2184"/>
            <w:shd w:fill="FFFFFF" w:val="clear"/>
            <w:tcMar>
              <w:top w:type="dxa" w:w="80"/>
              <w:left w:type="dxa" w:w="100"/>
              <w:bottom w:type="dxa" w:w="80"/>
              <w:right w:type="dxa" w:w="100"/>
            </w:tcMar>
          </w:tcPr>
          <w:p>
            <w:pPr>
              <w:spacing w:after="0" w:line="240"/>
            </w:pPr>
            <w:r>
              <w:rPr>
                <w:b/>
                <w:bCs/>
                <w:sz w:val="17"/>
                <w:szCs w:val="17"/>
              </w:rPr>
              <w:t xml:space="preserve">Glass beverage bottles</w:t>
            </w:r>
          </w:p>
        </w:tc>
        <w:tc>
          <w:tcPr>
            <w:tcW w:type="dxa" w:w="2184"/>
            <w:shd w:fill="FFFFFF" w:val="clear"/>
            <w:tcMar>
              <w:top w:type="dxa" w:w="80"/>
              <w:left w:type="dxa" w:w="100"/>
              <w:bottom w:type="dxa" w:w="80"/>
              <w:right w:type="dxa" w:w="100"/>
            </w:tcMar>
          </w:tcPr>
          <w:p>
            <w:pPr>
              <w:spacing w:after="0" w:line="240"/>
            </w:pPr>
            <w:r>
              <w:rPr>
                <w:sz w:val="17"/>
                <w:szCs w:val="17"/>
              </w:rPr>
              <w:t xml:space="preserve">No credible national figure</w:t>
            </w:r>
          </w:p>
        </w:tc>
        <w:tc>
          <w:tcPr>
            <w:tcW w:type="dxa" w:w="2184"/>
            <w:shd w:fill="FFFFFF" w:val="clear"/>
            <w:tcMar>
              <w:top w:type="dxa" w:w="80"/>
              <w:left w:type="dxa" w:w="100"/>
              <w:bottom w:type="dxa" w:w="80"/>
              <w:right w:type="dxa" w:w="100"/>
            </w:tcMar>
          </w:tcPr>
          <w:p>
            <w:pPr>
              <w:spacing w:after="0" w:line="240"/>
            </w:pPr>
            <w:r>
              <w:rPr>
                <w:b/>
                <w:bCs/>
                <w:sz w:val="17"/>
                <w:szCs w:val="17"/>
              </w:rPr>
              <w:t xml:space="preserve">[DATA GAP]</w:t>
            </w:r>
            <w:r>
              <w:rPr>
                <w:sz w:val="17"/>
                <w:szCs w:val="17"/>
              </w:rPr>
              <w:t xml:space="preserve"> - estimation approach below</w:t>
            </w:r>
          </w:p>
        </w:tc>
        <w:tc>
          <w:tcPr>
            <w:tcW w:type="dxa" w:w="2186"/>
            <w:shd w:fill="FFFFFF" w:val="clear"/>
            <w:tcMar>
              <w:top w:type="dxa" w:w="80"/>
              <w:left w:type="dxa" w:w="100"/>
              <w:bottom w:type="dxa" w:w="80"/>
              <w:right w:type="dxa" w:w="100"/>
            </w:tcMar>
          </w:tcPr>
          <w:p>
            <w:pPr>
              <w:spacing w:after="0" w:line="240"/>
            </w:pPr>
            <w:r>
              <w:rPr>
                <w:sz w:val="17"/>
                <w:szCs w:val="17"/>
              </w:rPr>
              <w:t xml:space="preserve">R3/R5 both confirm absence</w:t>
            </w:r>
          </w:p>
        </w:tc>
      </w:tr>
      <w:tr>
        <w:tc>
          <w:tcPr>
            <w:tcW w:type="dxa" w:w="2184"/>
            <w:shd w:fill="F5F1E8" w:val="clear"/>
            <w:tcMar>
              <w:top w:type="dxa" w:w="80"/>
              <w:left w:type="dxa" w:w="100"/>
              <w:bottom w:type="dxa" w:w="80"/>
              <w:right w:type="dxa" w:w="100"/>
            </w:tcMar>
          </w:tcPr>
          <w:p>
            <w:pPr>
              <w:spacing w:after="0" w:line="240"/>
            </w:pPr>
            <w:r>
              <w:rPr>
                <w:b/>
                <w:bCs/>
                <w:sz w:val="17"/>
                <w:szCs w:val="17"/>
              </w:rPr>
              <w:t xml:space="preserve">Total PET + cans</w:t>
            </w:r>
          </w:p>
        </w:tc>
        <w:tc>
          <w:tcPr>
            <w:tcW w:type="dxa" w:w="2184"/>
            <w:shd w:fill="F5F1E8" w:val="clear"/>
            <w:tcMar>
              <w:top w:type="dxa" w:w="80"/>
              <w:left w:type="dxa" w:w="100"/>
              <w:bottom w:type="dxa" w:w="80"/>
              <w:right w:type="dxa" w:w="100"/>
            </w:tcMar>
          </w:tcPr>
          <w:p>
            <w:pPr>
              <w:spacing w:after="0" w:line="240"/>
            </w:pPr>
            <w:r>
              <w:rPr>
                <w:b/>
                <w:bCs/>
                <w:sz w:val="17"/>
                <w:szCs w:val="17"/>
              </w:rPr>
              <w:t xml:space="preserve">~2.8-4.5 billion units/yr</w:t>
            </w:r>
          </w:p>
        </w:tc>
        <w:tc>
          <w:tcPr>
            <w:tcW w:type="dxa" w:w="2184"/>
            <w:shd w:fill="F5F1E8" w:val="clear"/>
            <w:tcMar>
              <w:top w:type="dxa" w:w="80"/>
              <w:left w:type="dxa" w:w="100"/>
              <w:bottom w:type="dxa" w:w="80"/>
              <w:right w:type="dxa" w:w="100"/>
            </w:tcMar>
          </w:tcPr>
          <w:p>
            <w:pPr>
              <w:spacing w:after="0" w:line="240"/>
            </w:pPr>
            <w:r>
              <w:rPr>
                <w:sz w:val="17"/>
                <w:szCs w:val="17"/>
              </w:rPr>
              <w:t xml:space="preserve">[ESTIMATE - range]</w:t>
            </w:r>
          </w:p>
        </w:tc>
        <w:tc>
          <w:tcPr>
            <w:tcW w:type="dxa" w:w="2186"/>
            <w:shd w:fill="F5F1E8" w:val="clear"/>
            <w:tcMar>
              <w:top w:type="dxa" w:w="80"/>
              <w:left w:type="dxa" w:w="100"/>
              <w:bottom w:type="dxa" w:w="80"/>
              <w:right w:type="dxa" w:w="100"/>
            </w:tcMar>
          </w:tcPr>
          <w:p>
            <w:pPr>
              <w:spacing w:after="0" w:line="240"/>
            </w:pPr>
            <w:r>
              <w:rPr>
                <w:sz w:val="17"/>
                <w:szCs w:val="17"/>
              </w:rPr>
              <w:t xml:space="preserve">Survey §2.3</w:t>
            </w:r>
          </w:p>
        </w:tc>
      </w:tr>
    </w:tbl>
    <w:p>
      <w:pPr>
        <w:spacing w:after="200"/>
      </w:pPr>
      <w:r>
        <w:rPr>
          <w:sz w:val="8"/>
          <w:szCs w:val="8"/>
        </w:rPr>
        <w:t xml:space="preserve"/>
      </w:r>
    </w:p>
    <w:p>
      <w:pPr>
        <w:pStyle w:val="Heading3"/>
        <w:keepNext/>
        <w:spacing w:after="110" w:before="260"/>
      </w:pPr>
      <w:r>
        <w:rPr>
          <w:rFonts w:ascii="Calibri" w:cs="Calibri" w:eastAsia="Calibri" w:hAnsi="Calibri"/>
          <w:b/>
          <w:bCs/>
          <w:color w:val="4A6580"/>
          <w:sz w:val="24"/>
          <w:szCs w:val="24"/>
        </w:rPr>
        <w:t xml:space="preserve">5.2.1 PET: the dominant stream</w:t>
      </w:r>
    </w:p>
    <w:p>
      <w:pPr>
        <w:spacing w:after="160" w:line="300"/>
        <w:jc w:val="both"/>
      </w:pPr>
      <w:r>
        <w:t xml:space="preserve">The survey's sizing chain - population × packaged-water volume (1.8-3.2 billion litres; Ken Research and EcoMENA) × 55% assumed DRS-eligible one-way PET share (sensitivity 45-70%, excluding HOD/returnable formats) ÷ 0.60 L average bottle, plus 0.45-0.85 billion non-water PET units (CSD, juices, iced tea, sports/energy drinks, flavoured water) - yields </w:t>
      </w:r>
      <w:r>
        <w:rPr>
          <w:b/>
          <w:bCs/>
        </w:rPr>
        <w:t xml:space="preserve">2.1-3.8 billion PET bottles per year</w:t>
      </w:r>
      <w:r>
        <w:t xml:space="preserve"> </w:t>
      </w:r>
      <w:r>
        <w:rPr>
          <w:b/>
          <w:bCs/>
        </w:rPr>
        <w:t xml:space="preserve">[ESTIMATE]</w:t>
      </w:r>
      <w:r>
        <w:t xml:space="preserve">. An independent academic estimate from UAE bottler data arrives at ~5 billion 0.5 L water bottles annually (Jadayil et al., 2023), suggesting the modelled range is, if anything, conservative at the top end. The financial model in Chapter 10 adopts a base case of </w:t>
      </w:r>
      <w:r>
        <w:rPr>
          <w:b/>
          <w:bCs/>
        </w:rPr>
        <w:t xml:space="preserve">2.90 billion PET units</w:t>
      </w:r>
      <w:r>
        <w:t xml:space="preserve"> at 2028 launch - mid-range, pending producer/importer validation.</w:t>
      </w:r>
    </w:p>
    <w:p>
      <w:pPr>
        <w:pBdr>
          <w:left w:val="single" w:color="9C4F2E" w:sz="18"/>
        </w:pBdr>
        <w:shd w:fill="F5F1E8" w:val="clear"/>
        <w:spacing w:after="200" w:before="120" w:line="270"/>
        <w:ind w:left="260" w:right="260"/>
      </w:pPr>
      <w:r>
        <w:rPr>
          <w:b/>
          <w:bCs/>
          <w:i w:val="false"/>
          <w:iCs w:val="false"/>
          <w:sz w:val="19"/>
          <w:szCs w:val="19"/>
        </w:rPr>
        <w:t xml:space="preserve">[DATA GAP: no official UAE count of DRS-eligible PET containers placed on market exists; total non-water PET volumes by material are not published. First-priority action in Phase 1: mandatory SKU-level producer/importer data reporting (material, size, one-way vs reusable, barcode, annual units, channel split).]</w:t>
      </w:r>
    </w:p>
    <w:p>
      <w:pPr>
        <w:pStyle w:val="Heading3"/>
        <w:keepNext/>
        <w:spacing w:after="110" w:before="260"/>
      </w:pPr>
      <w:r>
        <w:rPr>
          <w:rFonts w:ascii="Calibri" w:cs="Calibri" w:eastAsia="Calibri" w:hAnsi="Calibri"/>
          <w:b/>
          <w:bCs/>
          <w:color w:val="4A6580"/>
          <w:sz w:val="24"/>
          <w:szCs w:val="24"/>
        </w:rPr>
        <w:t xml:space="preserve">5.2.2 Aluminium: the best-measured stream</w:t>
      </w:r>
    </w:p>
    <w:p>
      <w:pPr>
        <w:spacing w:after="160" w:line="300"/>
        <w:jc w:val="both"/>
      </w:pPr>
      <w:r>
        <w:t xml:space="preserve">EGA publishes the cleanest figure in the market: </w:t>
      </w:r>
      <w:r>
        <w:rPr>
          <w:b/>
          <w:bCs/>
        </w:rPr>
        <w:t xml:space="preserve">~660 million cans per year, of which only about one-third are recycled - more than 440 million cans go to landfill annually</w:t>
      </w:r>
      <w:r>
        <w:t xml:space="preserve"> </w:t>
      </w:r>
      <w:r>
        <w:rPr>
          <w:b/>
          <w:bCs/>
        </w:rPr>
        <w:t xml:space="preserve">[PUBLISHED]</w:t>
      </w:r>
      <w:r>
        <w:t xml:space="preserve"> (EGA, 2024). The International Aluminium Institute corroborates the gap: </w:t>
      </w:r>
      <w:r>
        <w:rPr>
          <w:b/>
          <w:bCs/>
        </w:rPr>
        <w:t xml:space="preserve">67% of UAE cans reach landfill, and only ~20% of cans placed on market are recycled can-to-can</w:t>
      </w:r>
      <w:r>
        <w:t xml:space="preserve"> </w:t>
      </w:r>
      <w:r>
        <w:rPr>
          <w:b/>
          <w:bCs/>
        </w:rPr>
        <w:t xml:space="preserve">[PUBLISHED]</w:t>
      </w:r>
      <w:r>
        <w:t xml:space="preserve"> (IAI, 2025). This is the stream where a DRS converts the most certain loss into the most certain value.</w:t>
      </w:r>
    </w:p>
    <w:p>
      <w:pPr>
        <w:pStyle w:val="Heading3"/>
        <w:keepNext/>
        <w:spacing w:after="110" w:before="260"/>
      </w:pPr>
      <w:r>
        <w:rPr>
          <w:rFonts w:ascii="Calibri" w:cs="Calibri" w:eastAsia="Calibri" w:hAnsi="Calibri"/>
          <w:b/>
          <w:bCs/>
          <w:color w:val="4A6580"/>
          <w:sz w:val="24"/>
          <w:szCs w:val="24"/>
        </w:rPr>
        <w:t xml:space="preserve">5.2.3 Glass: a quantified gap, not an omission</w:t>
      </w:r>
    </w:p>
    <w:p>
      <w:pPr>
        <w:spacing w:after="160" w:line="300"/>
        <w:jc w:val="both"/>
      </w:pPr>
      <w:r>
        <w:t xml:space="preserve">No public or internal source provides a national glass beverage-container count </w:t>
      </w:r>
      <w:r>
        <w:rPr>
          <w:b/>
          <w:bCs/>
        </w:rPr>
        <w:t xml:space="preserve">[DATA GAP]</w:t>
      </w:r>
      <w:r>
        <w:t xml:space="preserve">. Glass is present but niche - premium water, juices and the hospitality channel. Our estimation approach for planning purposes: set glass at </w:t>
      </w:r>
      <w:r>
        <w:rPr>
          <w:b/>
          <w:bCs/>
        </w:rPr>
        <w:t xml:space="preserve">~5% of combined PET + can volume (~0.18 billion units)</w:t>
      </w:r>
      <w:r>
        <w:t xml:space="preserve"> </w:t>
      </w:r>
      <w:r>
        <w:rPr>
          <w:b/>
          <w:bCs/>
        </w:rPr>
        <w:t xml:space="preserve">[ESTIMATE - analyst]</w:t>
      </w:r>
      <w:r>
        <w:t xml:space="preserve">, consistent with the Tadweer-TOMRA MoU's inclusion of glass in a nationwide return programme (WAM, 2025), and validate in Phase 1 through hospitality-channel and importer data. Glass economics are addressed in Chapter 10; the key market fact is that the UAE has </w:t>
      </w:r>
      <w:r>
        <w:rPr>
          <w:b/>
          <w:bCs/>
        </w:rPr>
        <w:t xml:space="preserve">no container-glass furnace with high cullet intake</w:t>
      </w:r>
      <w:r>
        <w:t xml:space="preserve"> - DRS glass would initially be an aggregation-and-export play (R3, 2026).</w:t>
      </w:r>
    </w:p>
    <w:p>
      <w:pPr>
        <w:spacing w:after="40" w:before="200"/>
        <w:jc w:val="center"/>
      </w:pPr>
      <w:r>
        <w:drawing>
          <wp:inline distT="0" distB="0" distL="0" distR="0">
            <wp:extent cx="5524500" cy="3038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5524500" cy="3038475"/>
                    </a:xfrm>
                    <a:prstGeom prst="rect">
                      <a:avLst/>
                    </a:prstGeom>
                  </pic:spPr>
                </pic:pic>
              </a:graphicData>
            </a:graphic>
          </wp:inline>
        </w:drawing>
      </w:r>
    </w:p>
    <w:p>
      <w:pPr>
        <w:spacing w:after="240" w:before="40"/>
        <w:jc w:val="center"/>
      </w:pPr>
      <w:r>
        <w:rPr>
          <w:rFonts w:ascii="Calibri" w:cs="Calibri" w:eastAsia="Calibri" w:hAnsi="Calibri"/>
          <w:i/>
          <w:iCs/>
          <w:color w:val="4A6580"/>
          <w:sz w:val="17"/>
          <w:szCs w:val="17"/>
        </w:rPr>
        <w:t xml:space="preserve">Containers placed on market by material - ~3.74bn units per year (modelled; survey caveat noted on-chart).</w:t>
      </w:r>
    </w:p>
    <w:p>
      <w:pPr>
        <w:pStyle w:val="Heading2"/>
        <w:keepNext/>
        <w:spacing w:after="140" w:before="340"/>
      </w:pPr>
      <w:r>
        <w:rPr>
          <w:rFonts w:ascii="Georgia" w:cs="Georgia" w:eastAsia="Georgia" w:hAnsi="Georgia"/>
          <w:b/>
          <w:bCs/>
          <w:color w:val="1B2A4A"/>
          <w:sz w:val="30"/>
          <w:szCs w:val="30"/>
        </w:rPr>
        <w:t xml:space="preserve">5.3 Producer &amp; Importer Landscape</w:t>
      </w:r>
    </w:p>
    <w:p>
      <w:pPr>
        <w:spacing w:after="160" w:line="300"/>
        <w:jc w:val="both"/>
      </w:pPr>
      <w:r>
        <w:t xml:space="preserve">The producer base is concentrated, sophisticated, and - critically - already publicly committed to the outcomes a DRS delivers. A producer-funded DRS should be framed to this audience as </w:t>
      </w:r>
      <w:r>
        <w:rPr>
          <w:i/>
          <w:iCs/>
        </w:rPr>
        <w:t xml:space="preserve">delivery of existing ESG commitments</w:t>
      </w:r>
      <w:r>
        <w:t xml:space="preserve">, not a new burden (UAE DRS Market Survey, 2026).</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2912"/>
        <w:gridCol w:w="2912"/>
        <w:gridCol w:w="2914"/>
      </w:tblGrid>
      <w:tr>
        <w:trPr>
          <w:tblHeader/>
        </w:trPr>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Producer / bottler</w:t>
            </w:r>
          </w:p>
        </w:tc>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Position &amp; capacity</w:t>
            </w:r>
          </w:p>
        </w:tc>
        <w:tc>
          <w:tcPr>
            <w:tcW w:type="dxa" w:w="291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Sustainability commitments (published)</w:t>
            </w:r>
          </w:p>
        </w:tc>
      </w:tr>
      <w:tr>
        <w:tc>
          <w:tcPr>
            <w:tcW w:type="dxa" w:w="2912"/>
            <w:shd w:fill="FFFFFF" w:val="clear"/>
            <w:tcMar>
              <w:top w:type="dxa" w:w="80"/>
              <w:left w:type="dxa" w:w="100"/>
              <w:bottom w:type="dxa" w:w="80"/>
              <w:right w:type="dxa" w:w="100"/>
            </w:tcMar>
          </w:tcPr>
          <w:p>
            <w:pPr>
              <w:spacing w:after="0" w:line="240"/>
            </w:pPr>
            <w:r>
              <w:rPr>
                <w:b/>
                <w:bCs/>
                <w:sz w:val="17"/>
                <w:szCs w:val="17"/>
              </w:rPr>
              <w:t xml:space="preserve">Agthia Group PJSC</w:t>
            </w:r>
            <w:r>
              <w:rPr>
                <w:sz w:val="17"/>
                <w:szCs w:val="17"/>
              </w:rPr>
              <w:t xml:space="preserve"> (Al Ain Water, Al Ain Zero, Alpin)</w:t>
            </w:r>
          </w:p>
        </w:tc>
        <w:tc>
          <w:tcPr>
            <w:tcW w:type="dxa" w:w="2912"/>
            <w:shd w:fill="FFFFFF" w:val="clear"/>
            <w:tcMar>
              <w:top w:type="dxa" w:w="80"/>
              <w:left w:type="dxa" w:w="100"/>
              <w:bottom w:type="dxa" w:w="80"/>
              <w:right w:type="dxa" w:w="100"/>
            </w:tcMar>
          </w:tcPr>
          <w:p>
            <w:pPr>
              <w:spacing w:after="0" w:line="240"/>
            </w:pPr>
            <w:r>
              <w:rPr>
                <w:sz w:val="17"/>
                <w:szCs w:val="17"/>
              </w:rPr>
              <w:t xml:space="preserve">UAE bottled-water market leader; Al Ain Water capacity expanded 32m → </w:t>
            </w:r>
            <w:r>
              <w:rPr>
                <w:b/>
                <w:bCs/>
                <w:sz w:val="17"/>
                <w:szCs w:val="17"/>
              </w:rPr>
              <w:t xml:space="preserve">52m cases/yr</w:t>
            </w:r>
            <w:r>
              <w:rPr>
                <w:sz w:val="17"/>
                <w:szCs w:val="17"/>
              </w:rPr>
              <w:t xml:space="preserve"> (WAM)</w:t>
            </w:r>
          </w:p>
        </w:tc>
        <w:tc>
          <w:tcPr>
            <w:tcW w:type="dxa" w:w="2914"/>
            <w:shd w:fill="FFFFFF" w:val="clear"/>
            <w:tcMar>
              <w:top w:type="dxa" w:w="80"/>
              <w:left w:type="dxa" w:w="100"/>
              <w:bottom w:type="dxa" w:w="80"/>
              <w:right w:type="dxa" w:w="100"/>
            </w:tcMar>
          </w:tcPr>
          <w:p>
            <w:pPr>
              <w:spacing w:after="0" w:line="240"/>
            </w:pPr>
            <w:r>
              <w:rPr>
                <w:sz w:val="17"/>
                <w:szCs w:val="17"/>
              </w:rPr>
              <w:t xml:space="preserve">Launched the UAE's </w:t>
            </w:r>
            <w:r>
              <w:rPr>
                <w:b/>
                <w:bCs/>
                <w:sz w:val="17"/>
                <w:szCs w:val="17"/>
              </w:rPr>
              <w:t xml:space="preserve">first locally produced 100% recycled-PET (rPET) bottle</w:t>
            </w:r>
            <w:r>
              <w:rPr>
                <w:sz w:val="17"/>
                <w:szCs w:val="17"/>
              </w:rPr>
              <w:t xml:space="preserve">; 7-year rPET offtake partner to the Repeet plant; RECAPP partner (Abu Dhabi Media Office; Agthia, 2024-25)</w:t>
            </w:r>
          </w:p>
        </w:tc>
      </w:tr>
      <w:tr>
        <w:tc>
          <w:tcPr>
            <w:tcW w:type="dxa" w:w="2912"/>
            <w:shd w:fill="F5F1E8" w:val="clear"/>
            <w:tcMar>
              <w:top w:type="dxa" w:w="80"/>
              <w:left w:type="dxa" w:w="100"/>
              <w:bottom w:type="dxa" w:w="80"/>
              <w:right w:type="dxa" w:w="100"/>
            </w:tcMar>
          </w:tcPr>
          <w:p>
            <w:pPr>
              <w:spacing w:after="0" w:line="240"/>
            </w:pPr>
            <w:r>
              <w:rPr>
                <w:b/>
                <w:bCs/>
                <w:sz w:val="17"/>
                <w:szCs w:val="17"/>
              </w:rPr>
              <w:t xml:space="preserve">Mai Dubai</w:t>
            </w:r>
            <w:r>
              <w:rPr>
                <w:sz w:val="17"/>
                <w:szCs w:val="17"/>
              </w:rPr>
              <w:t xml:space="preserve"> (DEWA-owned, est. 2014)</w:t>
            </w:r>
          </w:p>
        </w:tc>
        <w:tc>
          <w:tcPr>
            <w:tcW w:type="dxa" w:w="2912"/>
            <w:shd w:fill="F5F1E8" w:val="clear"/>
            <w:tcMar>
              <w:top w:type="dxa" w:w="80"/>
              <w:left w:type="dxa" w:w="100"/>
              <w:bottom w:type="dxa" w:w="80"/>
              <w:right w:type="dxa" w:w="100"/>
            </w:tcMar>
          </w:tcPr>
          <w:p>
            <w:pPr>
              <w:spacing w:after="0" w:line="240"/>
            </w:pPr>
            <w:r>
              <w:rPr>
                <w:sz w:val="17"/>
                <w:szCs w:val="17"/>
              </w:rPr>
              <w:t xml:space="preserve">Region's fastest bottling line - </w:t>
            </w:r>
            <w:r>
              <w:rPr>
                <w:b/>
                <w:bCs/>
                <w:sz w:val="17"/>
                <w:szCs w:val="17"/>
              </w:rPr>
              <w:t xml:space="preserve">86,000 bottles/hour</w:t>
            </w:r>
            <w:r>
              <w:rPr>
                <w:sz w:val="17"/>
                <w:szCs w:val="17"/>
              </w:rPr>
              <w:t xml:space="preserve">; sells water in aluminium cans</w:t>
            </w:r>
          </w:p>
        </w:tc>
        <w:tc>
          <w:tcPr>
            <w:tcW w:type="dxa" w:w="2914"/>
            <w:shd w:fill="F5F1E8" w:val="clear"/>
            <w:tcMar>
              <w:top w:type="dxa" w:w="80"/>
              <w:left w:type="dxa" w:w="100"/>
              <w:bottom w:type="dxa" w:w="80"/>
              <w:right w:type="dxa" w:w="100"/>
            </w:tcMar>
          </w:tcPr>
          <w:p>
            <w:pPr>
              <w:spacing w:after="0" w:line="240"/>
            </w:pPr>
            <w:r>
              <w:rPr>
                <w:sz w:val="17"/>
                <w:szCs w:val="17"/>
              </w:rPr>
              <w:t xml:space="preserve">Region's only </w:t>
            </w:r>
            <w:r>
              <w:rPr>
                <w:b/>
                <w:bCs/>
                <w:sz w:val="17"/>
                <w:szCs w:val="17"/>
              </w:rPr>
              <w:t xml:space="preserve">100% solar-powered</w:t>
            </w:r>
            <w:r>
              <w:rPr>
                <w:sz w:val="17"/>
                <w:szCs w:val="17"/>
              </w:rPr>
              <w:t xml:space="preserve"> water plant; net-zero energy two consecutive years; Sparklo RVM partnership (30 machines, 2025)</w:t>
            </w:r>
          </w:p>
        </w:tc>
      </w:tr>
      <w:tr>
        <w:tc>
          <w:tcPr>
            <w:tcW w:type="dxa" w:w="2912"/>
            <w:shd w:fill="FFFFFF" w:val="clear"/>
            <w:tcMar>
              <w:top w:type="dxa" w:w="80"/>
              <w:left w:type="dxa" w:w="100"/>
              <w:bottom w:type="dxa" w:w="80"/>
              <w:right w:type="dxa" w:w="100"/>
            </w:tcMar>
          </w:tcPr>
          <w:p>
            <w:pPr>
              <w:spacing w:after="0" w:line="240"/>
            </w:pPr>
            <w:r>
              <w:rPr>
                <w:b/>
                <w:bCs/>
                <w:sz w:val="17"/>
                <w:szCs w:val="17"/>
              </w:rPr>
              <w:t xml:space="preserve">Masafi</w:t>
            </w:r>
            <w:r>
              <w:rPr>
                <w:sz w:val="17"/>
                <w:szCs w:val="17"/>
              </w:rPr>
              <w:t xml:space="preserve"> (est. 1976)</w:t>
            </w:r>
          </w:p>
        </w:tc>
        <w:tc>
          <w:tcPr>
            <w:tcW w:type="dxa" w:w="2912"/>
            <w:shd w:fill="FFFFFF" w:val="clear"/>
            <w:tcMar>
              <w:top w:type="dxa" w:w="80"/>
              <w:left w:type="dxa" w:w="100"/>
              <w:bottom w:type="dxa" w:w="80"/>
              <w:right w:type="dxa" w:w="100"/>
            </w:tcMar>
          </w:tcPr>
          <w:p>
            <w:pPr>
              <w:spacing w:after="0" w:line="240"/>
            </w:pPr>
            <w:r>
              <w:rPr>
                <w:sz w:val="17"/>
                <w:szCs w:val="17"/>
              </w:rPr>
              <w:t xml:space="preserve">&gt;100 million gallons/yr; PET line 34,000 bottles/h</w:t>
            </w:r>
          </w:p>
        </w:tc>
        <w:tc>
          <w:tcPr>
            <w:tcW w:type="dxa" w:w="2914"/>
            <w:shd w:fill="FFFFFF" w:val="clear"/>
            <w:tcMar>
              <w:top w:type="dxa" w:w="80"/>
              <w:left w:type="dxa" w:w="100"/>
              <w:bottom w:type="dxa" w:w="80"/>
              <w:right w:type="dxa" w:w="100"/>
            </w:tcMar>
          </w:tcPr>
          <w:p>
            <w:pPr>
              <w:spacing w:after="0" w:line="240"/>
            </w:pPr>
            <w:r>
              <w:rPr>
                <w:sz w:val="17"/>
                <w:szCs w:val="17"/>
              </w:rPr>
              <w:t xml:space="preserve">UAE's lightest 500 ml bottle - </w:t>
            </w:r>
            <w:r>
              <w:rPr>
                <w:b/>
                <w:bCs/>
                <w:sz w:val="17"/>
                <w:szCs w:val="17"/>
              </w:rPr>
              <w:t xml:space="preserve">23% less plastic</w:t>
            </w:r>
            <w:r>
              <w:rPr>
                <w:sz w:val="17"/>
                <w:szCs w:val="17"/>
              </w:rPr>
              <w:t xml:space="preserve"> (Masafi)</w:t>
            </w:r>
          </w:p>
        </w:tc>
      </w:tr>
      <w:tr>
        <w:tc>
          <w:tcPr>
            <w:tcW w:type="dxa" w:w="2912"/>
            <w:shd w:fill="F5F1E8" w:val="clear"/>
            <w:tcMar>
              <w:top w:type="dxa" w:w="80"/>
              <w:left w:type="dxa" w:w="100"/>
              <w:bottom w:type="dxa" w:w="80"/>
              <w:right w:type="dxa" w:w="100"/>
            </w:tcMar>
          </w:tcPr>
          <w:p>
            <w:pPr>
              <w:spacing w:after="0" w:line="240"/>
            </w:pPr>
            <w:r>
              <w:rPr>
                <w:b/>
                <w:bCs/>
                <w:sz w:val="17"/>
                <w:szCs w:val="17"/>
              </w:rPr>
              <w:t xml:space="preserve">Coca-Cola Al Ahlia Gulf Line</w:t>
            </w:r>
          </w:p>
        </w:tc>
        <w:tc>
          <w:tcPr>
            <w:tcW w:type="dxa" w:w="2912"/>
            <w:shd w:fill="F5F1E8" w:val="clear"/>
            <w:tcMar>
              <w:top w:type="dxa" w:w="80"/>
              <w:left w:type="dxa" w:w="100"/>
              <w:bottom w:type="dxa" w:w="80"/>
              <w:right w:type="dxa" w:w="100"/>
            </w:tcMar>
          </w:tcPr>
          <w:p>
            <w:pPr>
              <w:spacing w:after="0" w:line="240"/>
            </w:pPr>
            <w:r>
              <w:rPr>
                <w:sz w:val="17"/>
                <w:szCs w:val="17"/>
              </w:rPr>
              <w:t xml:space="preserve">Licensed Coca-Cola bottler for UAE &amp; Oman; Al Ain plant since 1990 (Arwa water + Coke portfolio); Aujan JV owns Rani and Barbican</w:t>
            </w:r>
          </w:p>
        </w:tc>
        <w:tc>
          <w:tcPr>
            <w:tcW w:type="dxa" w:w="2914"/>
            <w:shd w:fill="F5F1E8" w:val="clear"/>
            <w:tcMar>
              <w:top w:type="dxa" w:w="80"/>
              <w:left w:type="dxa" w:w="100"/>
              <w:bottom w:type="dxa" w:w="80"/>
              <w:right w:type="dxa" w:w="100"/>
            </w:tcMar>
          </w:tcPr>
          <w:p>
            <w:pPr>
              <w:spacing w:after="0" w:line="240"/>
            </w:pPr>
            <w:r>
              <w:rPr>
                <w:sz w:val="17"/>
                <w:szCs w:val="17"/>
              </w:rPr>
              <w:t xml:space="preserve">Solar at Al Ain (Masdar/Emerge); Coca-Cola global goal: collect </w:t>
            </w:r>
            <w:r>
              <w:rPr>
                <w:b/>
                <w:bCs/>
                <w:sz w:val="17"/>
                <w:szCs w:val="17"/>
              </w:rPr>
              <w:t xml:space="preserve">70-75% of equivalent bottles and cans placed on market annually by 2035</w:t>
            </w:r>
            <w:r>
              <w:rPr>
                <w:sz w:val="17"/>
                <w:szCs w:val="17"/>
              </w:rPr>
              <w:t xml:space="preserve"> (Coca-Cola, 2025)</w:t>
            </w:r>
          </w:p>
        </w:tc>
      </w:tr>
      <w:tr>
        <w:tc>
          <w:tcPr>
            <w:tcW w:type="dxa" w:w="2912"/>
            <w:shd w:fill="FFFFFF" w:val="clear"/>
            <w:tcMar>
              <w:top w:type="dxa" w:w="80"/>
              <w:left w:type="dxa" w:w="100"/>
              <w:bottom w:type="dxa" w:w="80"/>
              <w:right w:type="dxa" w:w="100"/>
            </w:tcMar>
          </w:tcPr>
          <w:p>
            <w:pPr>
              <w:spacing w:after="0" w:line="240"/>
            </w:pPr>
            <w:r>
              <w:rPr>
                <w:b/>
                <w:bCs/>
                <w:sz w:val="17"/>
                <w:szCs w:val="17"/>
              </w:rPr>
              <w:t xml:space="preserve">PepsiCo / Dubai Refreshment Co.</w:t>
            </w:r>
            <w:r>
              <w:rPr>
                <w:sz w:val="17"/>
                <w:szCs w:val="17"/>
              </w:rPr>
              <w:t xml:space="preserve"> (est. 1959)</w:t>
            </w:r>
          </w:p>
        </w:tc>
        <w:tc>
          <w:tcPr>
            <w:tcW w:type="dxa" w:w="2912"/>
            <w:shd w:fill="FFFFFF" w:val="clear"/>
            <w:tcMar>
              <w:top w:type="dxa" w:w="80"/>
              <w:left w:type="dxa" w:w="100"/>
              <w:bottom w:type="dxa" w:w="80"/>
              <w:right w:type="dxa" w:w="100"/>
            </w:tcMar>
          </w:tcPr>
          <w:p>
            <w:pPr>
              <w:spacing w:after="0" w:line="240"/>
            </w:pPr>
            <w:r>
              <w:rPr>
                <w:sz w:val="17"/>
                <w:szCs w:val="17"/>
              </w:rPr>
              <w:t xml:space="preserve">5 production lines, </w:t>
            </w:r>
            <w:r>
              <w:rPr>
                <w:b/>
                <w:bCs/>
                <w:sz w:val="17"/>
                <w:szCs w:val="17"/>
              </w:rPr>
              <w:t xml:space="preserve">120 million raw cases/annum</w:t>
            </w:r>
            <w:r>
              <w:rPr>
                <w:sz w:val="17"/>
                <w:szCs w:val="17"/>
              </w:rPr>
              <w:t xml:space="preserve"> incl. 355 ml can line; Abu Dhabi Refreshment Co. second franchise</w:t>
            </w:r>
          </w:p>
        </w:tc>
        <w:tc>
          <w:tcPr>
            <w:tcW w:type="dxa" w:w="2914"/>
            <w:shd w:fill="FFFFFF" w:val="clear"/>
            <w:tcMar>
              <w:top w:type="dxa" w:w="80"/>
              <w:left w:type="dxa" w:w="100"/>
              <w:bottom w:type="dxa" w:w="80"/>
              <w:right w:type="dxa" w:w="100"/>
            </w:tcMar>
          </w:tcPr>
          <w:p>
            <w:pPr>
              <w:spacing w:after="0" w:line="240"/>
            </w:pPr>
            <w:r>
              <w:rPr>
                <w:sz w:val="17"/>
                <w:szCs w:val="17"/>
              </w:rPr>
              <w:t xml:space="preserve">ESG reporting since 2023; 3.7 MW solar at Dubai Investment Park; PepsiCo is a founding member of the </w:t>
            </w:r>
            <w:r>
              <w:rPr>
                <w:b/>
                <w:bCs/>
                <w:sz w:val="17"/>
                <w:szCs w:val="17"/>
              </w:rPr>
              <w:t xml:space="preserve">UAE Circular Packaging Association</w:t>
            </w:r>
          </w:p>
        </w:tc>
      </w:tr>
      <w:tr>
        <w:tc>
          <w:tcPr>
            <w:tcW w:type="dxa" w:w="2912"/>
            <w:shd w:fill="F5F1E8" w:val="clear"/>
            <w:tcMar>
              <w:top w:type="dxa" w:w="80"/>
              <w:left w:type="dxa" w:w="100"/>
              <w:bottom w:type="dxa" w:w="80"/>
              <w:right w:type="dxa" w:w="100"/>
            </w:tcMar>
          </w:tcPr>
          <w:p>
            <w:pPr>
              <w:spacing w:after="0" w:line="240"/>
            </w:pPr>
            <w:r>
              <w:rPr>
                <w:b/>
                <w:bCs/>
                <w:sz w:val="17"/>
                <w:szCs w:val="17"/>
              </w:rPr>
              <w:t xml:space="preserve">NFPC</w:t>
            </w:r>
            <w:r>
              <w:rPr>
                <w:sz w:val="17"/>
                <w:szCs w:val="17"/>
              </w:rPr>
              <w:t xml:space="preserve"> (Oasis, Lacnor, Milco)</w:t>
            </w:r>
          </w:p>
        </w:tc>
        <w:tc>
          <w:tcPr>
            <w:tcW w:type="dxa" w:w="2912"/>
            <w:shd w:fill="F5F1E8" w:val="clear"/>
            <w:tcMar>
              <w:top w:type="dxa" w:w="80"/>
              <w:left w:type="dxa" w:w="100"/>
              <w:bottom w:type="dxa" w:w="80"/>
              <w:right w:type="dxa" w:w="100"/>
            </w:tcMar>
          </w:tcPr>
          <w:p>
            <w:pPr>
              <w:spacing w:after="0" w:line="240"/>
            </w:pPr>
            <w:r>
              <w:rPr>
                <w:sz w:val="17"/>
                <w:szCs w:val="17"/>
              </w:rPr>
              <w:t xml:space="preserve">KIZAD mega-plant; 5-gallon line 12,000 bottles/h</w:t>
            </w:r>
          </w:p>
        </w:tc>
        <w:tc>
          <w:tcPr>
            <w:tcW w:type="dxa" w:w="2914"/>
            <w:shd w:fill="F5F1E8" w:val="clear"/>
            <w:tcMar>
              <w:top w:type="dxa" w:w="80"/>
              <w:left w:type="dxa" w:w="100"/>
              <w:bottom w:type="dxa" w:w="80"/>
              <w:right w:type="dxa" w:w="100"/>
            </w:tcMar>
          </w:tcPr>
          <w:p>
            <w:pPr>
              <w:spacing w:after="0" w:line="240"/>
            </w:pPr>
            <w:r>
              <w:rPr>
                <w:sz w:val="17"/>
                <w:szCs w:val="17"/>
              </w:rPr>
              <w:t xml:space="preserve">In-house recycling plant in phase-2 plan (Waste &amp; Recycling MEA)</w:t>
            </w:r>
          </w:p>
        </w:tc>
      </w:tr>
      <w:tr>
        <w:tc>
          <w:tcPr>
            <w:tcW w:type="dxa" w:w="2912"/>
            <w:shd w:fill="FFFFFF" w:val="clear"/>
            <w:tcMar>
              <w:top w:type="dxa" w:w="80"/>
              <w:left w:type="dxa" w:w="100"/>
              <w:bottom w:type="dxa" w:w="80"/>
              <w:right w:type="dxa" w:w="100"/>
            </w:tcMar>
          </w:tcPr>
          <w:p>
            <w:pPr>
              <w:spacing w:after="0" w:line="240"/>
            </w:pPr>
            <w:r>
              <w:rPr>
                <w:b/>
                <w:bCs/>
                <w:sz w:val="17"/>
                <w:szCs w:val="17"/>
              </w:rPr>
              <w:t xml:space="preserve">Importers</w:t>
            </w:r>
          </w:p>
        </w:tc>
        <w:tc>
          <w:tcPr>
            <w:tcW w:type="dxa" w:w="2912"/>
            <w:shd w:fill="FFFFFF" w:val="clear"/>
            <w:tcMar>
              <w:top w:type="dxa" w:w="80"/>
              <w:left w:type="dxa" w:w="100"/>
              <w:bottom w:type="dxa" w:w="80"/>
              <w:right w:type="dxa" w:w="100"/>
            </w:tcMar>
          </w:tcPr>
          <w:p>
            <w:pPr>
              <w:spacing w:after="0" w:line="240"/>
            </w:pPr>
            <w:r>
              <w:rPr>
                <w:sz w:val="17"/>
                <w:szCs w:val="17"/>
              </w:rPr>
              <w:t xml:space="preserve">Almarai (KSA), Nestlé/Danone waters, Red Bull/Monster (import-led)</w:t>
            </w:r>
          </w:p>
        </w:tc>
        <w:tc>
          <w:tcPr>
            <w:tcW w:type="dxa" w:w="2914"/>
            <w:shd w:fill="FFFFFF" w:val="clear"/>
            <w:tcMar>
              <w:top w:type="dxa" w:w="80"/>
              <w:left w:type="dxa" w:w="100"/>
              <w:bottom w:type="dxa" w:w="80"/>
              <w:right w:type="dxa" w:w="100"/>
            </w:tcMar>
          </w:tcPr>
          <w:p>
            <w:pPr>
              <w:spacing w:after="0" w:line="240"/>
            </w:pPr>
            <w:r>
              <w:rPr>
                <w:sz w:val="17"/>
                <w:szCs w:val="17"/>
              </w:rPr>
              <w:t xml:space="preserve">Covered by DRS producer-fee obligation at import point</w:t>
            </w:r>
          </w:p>
        </w:tc>
      </w:tr>
    </w:tbl>
    <w:p>
      <w:pPr>
        <w:spacing w:after="200"/>
      </w:pPr>
      <w:r>
        <w:rPr>
          <w:sz w:val="8"/>
          <w:szCs w:val="8"/>
        </w:rPr>
        <w:t xml:space="preserve"/>
      </w:r>
    </w:p>
    <w:p>
      <w:pPr>
        <w:spacing w:after="160" w:line="300"/>
        <w:jc w:val="both"/>
      </w:pPr>
      <w:r>
        <w:rPr>
          <w:b/>
          <w:bCs/>
        </w:rPr>
        <w:t xml:space="preserve">Engagement architecture.</w:t>
      </w:r>
      <w:r>
        <w:t xml:space="preserve"> The Bottled Water Business Group under Dubai Chamber of Commerce represents most UAE bottled-water companies and is the natural first door, alongside the Dubai and Abu Dhabi Chambers and direct approaches to the two CSD bottlers (Survey, 2026) </w:t>
      </w:r>
      <w:r>
        <w:rPr>
          <w:i/>
          <w:iCs/>
        </w:rPr>
        <w:t xml:space="preserve">[survey reference S18 unverified in its Appendix B - treat as indicative]</w:t>
      </w:r>
      <w:r>
        <w:t xml:space="preserve">.</w:t>
      </w:r>
    </w:p>
    <w:p>
      <w:pPr>
        <w:pBdr>
          <w:left w:val="single" w:color="C9A227" w:sz="18"/>
        </w:pBdr>
        <w:shd w:fill="F5F1E8" w:val="clear"/>
        <w:spacing w:after="100" w:before="60" w:line="280"/>
        <w:ind w:left="260" w:right="260"/>
      </w:pPr>
      <w:r>
        <w:rPr>
          <w:color w:val="1B2A4A"/>
          <w:sz w:val="20"/>
          <w:szCs w:val="20"/>
        </w:rPr>
        <w:t xml:space="preserve">Every major UAE producer has already made a public collection, recycled-content or circularity pledge. None has a mechanism to honour it at scale. </w:t>
      </w:r>
      <w:r>
        <w:rPr>
          <w:b/>
          <w:bCs/>
          <w:color w:val="1B2A4A"/>
          <w:sz w:val="20"/>
          <w:szCs w:val="20"/>
        </w:rPr>
        <w:t xml:space="preserve">The DRS is that mechanism.</w:t>
      </w:r>
    </w:p>
    <w:p>
      <w:pPr>
        <w:spacing w:after="120"/>
      </w:pPr>
      <w:r>
        <w:rPr>
          <w:sz w:val="8"/>
          <w:szCs w:val="8"/>
        </w:rPr>
        <w:t xml:space="preserve"/>
      </w:r>
    </w:p>
    <w:p>
      <w:pPr>
        <w:pStyle w:val="Heading2"/>
        <w:keepNext/>
        <w:spacing w:after="140" w:before="340"/>
      </w:pPr>
      <w:r>
        <w:rPr>
          <w:rFonts w:ascii="Georgia" w:cs="Georgia" w:eastAsia="Georgia" w:hAnsi="Georgia"/>
          <w:b/>
          <w:bCs/>
          <w:color w:val="1B2A4A"/>
          <w:sz w:val="30"/>
          <w:szCs w:val="30"/>
        </w:rPr>
        <w:t xml:space="preserve">5.4 Retail Landscape &amp; Return-Channel Readiness</w:t>
      </w:r>
    </w:p>
    <w:p>
      <w:pPr>
        <w:spacing w:after="160" w:line="300"/>
        <w:jc w:val="both"/>
      </w:pPr>
      <w:r>
        <w:t xml:space="preserve">A return-to-retail DRS lives or dies on the store network. The UAE's modern trade is compact enough to anchor a national return network with a manageable number of counterparties.</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2912"/>
        <w:gridCol w:w="2912"/>
        <w:gridCol w:w="2914"/>
      </w:tblGrid>
      <w:tr>
        <w:trPr>
          <w:tblHeader/>
        </w:trPr>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Retailer</w:t>
            </w:r>
          </w:p>
        </w:tc>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UAE footprint</w:t>
            </w:r>
          </w:p>
        </w:tc>
        <w:tc>
          <w:tcPr>
            <w:tcW w:type="dxa" w:w="291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DRS-relevant posture</w:t>
            </w:r>
          </w:p>
        </w:tc>
      </w:tr>
      <w:tr>
        <w:tc>
          <w:tcPr>
            <w:tcW w:type="dxa" w:w="2912"/>
            <w:shd w:fill="FFFFFF" w:val="clear"/>
            <w:tcMar>
              <w:top w:type="dxa" w:w="80"/>
              <w:left w:type="dxa" w:w="100"/>
              <w:bottom w:type="dxa" w:w="80"/>
              <w:right w:type="dxa" w:w="100"/>
            </w:tcMar>
          </w:tcPr>
          <w:p>
            <w:pPr>
              <w:spacing w:after="0" w:line="240"/>
            </w:pPr>
            <w:r>
              <w:rPr>
                <w:b/>
                <w:bCs/>
                <w:sz w:val="17"/>
                <w:szCs w:val="17"/>
              </w:rPr>
              <w:t xml:space="preserve">Carrefour (Majid Al Futtaim)</w:t>
            </w:r>
          </w:p>
        </w:tc>
        <w:tc>
          <w:tcPr>
            <w:tcW w:type="dxa" w:w="2912"/>
            <w:shd w:fill="FFFFFF" w:val="clear"/>
            <w:tcMar>
              <w:top w:type="dxa" w:w="80"/>
              <w:left w:type="dxa" w:w="100"/>
              <w:bottom w:type="dxa" w:w="80"/>
              <w:right w:type="dxa" w:w="100"/>
            </w:tcMar>
          </w:tcPr>
          <w:p>
            <w:pPr>
              <w:spacing w:after="0" w:line="240"/>
            </w:pPr>
            <w:r>
              <w:rPr>
                <w:b/>
                <w:bCs/>
                <w:sz w:val="17"/>
                <w:szCs w:val="17"/>
              </w:rPr>
              <w:t xml:space="preserve">~38 stores</w:t>
            </w:r>
            <w:r>
              <w:rPr>
                <w:sz w:val="17"/>
                <w:szCs w:val="17"/>
              </w:rPr>
              <w:t xml:space="preserve"> (directories, 2025); 467 across 14 MENA/CIS markets (AGBI, 2024)</w:t>
            </w:r>
          </w:p>
        </w:tc>
        <w:tc>
          <w:tcPr>
            <w:tcW w:type="dxa" w:w="2914"/>
            <w:shd w:fill="FFFFFF" w:val="clear"/>
            <w:tcMar>
              <w:top w:type="dxa" w:w="80"/>
              <w:left w:type="dxa" w:w="100"/>
              <w:bottom w:type="dxa" w:w="80"/>
              <w:right w:type="dxa" w:w="100"/>
            </w:tcMar>
          </w:tcPr>
          <w:p>
            <w:pPr>
              <w:spacing w:after="0" w:line="240"/>
            </w:pPr>
            <w:r>
              <w:rPr>
                <w:sz w:val="17"/>
                <w:szCs w:val="17"/>
              </w:rPr>
              <w:t xml:space="preserve">EPR Pledge signatory (2025); RVM partnership with Coca-Cola Middle East &amp; Sparklo targeting </w:t>
            </w:r>
            <w:r>
              <w:rPr>
                <w:b/>
                <w:bCs/>
                <w:sz w:val="17"/>
                <w:szCs w:val="17"/>
              </w:rPr>
              <w:t xml:space="preserve">1.8M bottles/yr</w:t>
            </w:r>
            <w:r>
              <w:rPr>
                <w:sz w:val="17"/>
                <w:szCs w:val="17"/>
              </w:rPr>
              <w:t xml:space="preserve">; 18 RVMs/Smart Bins committed in Abu Dhabi &amp; Al Ain under EAD initiatives; ~70% single-use-bag reduction post-ban</w:t>
            </w:r>
          </w:p>
        </w:tc>
      </w:tr>
      <w:tr>
        <w:tc>
          <w:tcPr>
            <w:tcW w:type="dxa" w:w="2912"/>
            <w:shd w:fill="F5F1E8" w:val="clear"/>
            <w:tcMar>
              <w:top w:type="dxa" w:w="80"/>
              <w:left w:type="dxa" w:w="100"/>
              <w:bottom w:type="dxa" w:w="80"/>
              <w:right w:type="dxa" w:w="100"/>
            </w:tcMar>
          </w:tcPr>
          <w:p>
            <w:pPr>
              <w:spacing w:after="0" w:line="240"/>
            </w:pPr>
            <w:r>
              <w:rPr>
                <w:b/>
                <w:bCs/>
                <w:sz w:val="17"/>
                <w:szCs w:val="17"/>
              </w:rPr>
              <w:t xml:space="preserve">Lulu Retail</w:t>
            </w:r>
          </w:p>
        </w:tc>
        <w:tc>
          <w:tcPr>
            <w:tcW w:type="dxa" w:w="2912"/>
            <w:shd w:fill="F5F1E8" w:val="clear"/>
            <w:tcMar>
              <w:top w:type="dxa" w:w="80"/>
              <w:left w:type="dxa" w:w="100"/>
              <w:bottom w:type="dxa" w:w="80"/>
              <w:right w:type="dxa" w:w="100"/>
            </w:tcMar>
          </w:tcPr>
          <w:p>
            <w:pPr>
              <w:spacing w:after="0" w:line="240"/>
            </w:pPr>
            <w:r>
              <w:rPr>
                <w:b/>
                <w:bCs/>
                <w:sz w:val="17"/>
                <w:szCs w:val="17"/>
              </w:rPr>
              <w:t xml:space="preserve">~42 stores</w:t>
            </w:r>
            <w:r>
              <w:rPr>
                <w:sz w:val="17"/>
                <w:szCs w:val="17"/>
              </w:rPr>
              <w:t xml:space="preserve">; ~AED 27 bn revenue; +20 GCC outlets planned</w:t>
            </w:r>
          </w:p>
        </w:tc>
        <w:tc>
          <w:tcPr>
            <w:tcW w:type="dxa" w:w="2914"/>
            <w:shd w:fill="F5F1E8" w:val="clear"/>
            <w:tcMar>
              <w:top w:type="dxa" w:w="80"/>
              <w:left w:type="dxa" w:w="100"/>
              <w:bottom w:type="dxa" w:w="80"/>
              <w:right w:type="dxa" w:w="100"/>
            </w:tcMar>
          </w:tcPr>
          <w:p>
            <w:pPr>
              <w:spacing w:after="0" w:line="240"/>
            </w:pPr>
            <w:r>
              <w:rPr>
                <w:sz w:val="17"/>
                <w:szCs w:val="17"/>
              </w:rPr>
              <w:t xml:space="preserve">EPR Pledge signatory; Sparklo pilot of </w:t>
            </w:r>
            <w:r>
              <w:rPr>
                <w:b/>
                <w:bCs/>
                <w:sz w:val="17"/>
                <w:szCs w:val="17"/>
              </w:rPr>
              <w:t xml:space="preserve">14 RVMs</w:t>
            </w:r>
            <w:r>
              <w:rPr>
                <w:sz w:val="17"/>
                <w:szCs w:val="17"/>
              </w:rPr>
              <w:t xml:space="preserve"> in Dubai and Abu Dhabi; biodiesel delivery fleet</w:t>
            </w:r>
          </w:p>
        </w:tc>
      </w:tr>
      <w:tr>
        <w:tc>
          <w:tcPr>
            <w:tcW w:type="dxa" w:w="2912"/>
            <w:shd w:fill="FFFFFF" w:val="clear"/>
            <w:tcMar>
              <w:top w:type="dxa" w:w="80"/>
              <w:left w:type="dxa" w:w="100"/>
              <w:bottom w:type="dxa" w:w="80"/>
              <w:right w:type="dxa" w:w="100"/>
            </w:tcMar>
          </w:tcPr>
          <w:p>
            <w:pPr>
              <w:spacing w:after="0" w:line="240"/>
            </w:pPr>
            <w:r>
              <w:rPr>
                <w:b/>
                <w:bCs/>
                <w:sz w:val="17"/>
                <w:szCs w:val="17"/>
              </w:rPr>
              <w:t xml:space="preserve">Spinneys / Waitrose (Albwardy)</w:t>
            </w:r>
          </w:p>
        </w:tc>
        <w:tc>
          <w:tcPr>
            <w:tcW w:type="dxa" w:w="2912"/>
            <w:shd w:fill="FFFFFF" w:val="clear"/>
            <w:tcMar>
              <w:top w:type="dxa" w:w="80"/>
              <w:left w:type="dxa" w:w="100"/>
              <w:bottom w:type="dxa" w:w="80"/>
              <w:right w:type="dxa" w:w="100"/>
            </w:tcMar>
          </w:tcPr>
          <w:p>
            <w:pPr>
              <w:spacing w:after="0" w:line="240"/>
            </w:pPr>
            <w:r>
              <w:rPr>
                <w:sz w:val="17"/>
                <w:szCs w:val="17"/>
              </w:rPr>
              <w:t xml:space="preserve">~30 Spinneys (12 Dubai, 10 Abu Dhabi) + ~6 Waitrose</w:t>
            </w:r>
          </w:p>
        </w:tc>
        <w:tc>
          <w:tcPr>
            <w:tcW w:type="dxa" w:w="2914"/>
            <w:shd w:fill="FFFFFF" w:val="clear"/>
            <w:tcMar>
              <w:top w:type="dxa" w:w="80"/>
              <w:left w:type="dxa" w:w="100"/>
              <w:bottom w:type="dxa" w:w="80"/>
              <w:right w:type="dxa" w:w="100"/>
            </w:tcMar>
          </w:tcPr>
          <w:p>
            <w:pPr>
              <w:spacing w:after="0" w:line="240"/>
            </w:pPr>
            <w:r>
              <w:rPr>
                <w:sz w:val="17"/>
                <w:szCs w:val="17"/>
              </w:rPr>
              <w:t xml:space="preserve">"Better Together 2030" strategy; net-zero operations by 2040</w:t>
            </w:r>
          </w:p>
        </w:tc>
      </w:tr>
      <w:tr>
        <w:tc>
          <w:tcPr>
            <w:tcW w:type="dxa" w:w="2912"/>
            <w:shd w:fill="F5F1E8" w:val="clear"/>
            <w:tcMar>
              <w:top w:type="dxa" w:w="80"/>
              <w:left w:type="dxa" w:w="100"/>
              <w:bottom w:type="dxa" w:w="80"/>
              <w:right w:type="dxa" w:w="100"/>
            </w:tcMar>
          </w:tcPr>
          <w:p>
            <w:pPr>
              <w:spacing w:after="0" w:line="240"/>
            </w:pPr>
            <w:r>
              <w:rPr>
                <w:b/>
                <w:bCs/>
                <w:sz w:val="17"/>
                <w:szCs w:val="17"/>
              </w:rPr>
              <w:t xml:space="preserve">Union Coop</w:t>
            </w:r>
          </w:p>
        </w:tc>
        <w:tc>
          <w:tcPr>
            <w:tcW w:type="dxa" w:w="2912"/>
            <w:shd w:fill="F5F1E8" w:val="clear"/>
            <w:tcMar>
              <w:top w:type="dxa" w:w="80"/>
              <w:left w:type="dxa" w:w="100"/>
              <w:bottom w:type="dxa" w:w="80"/>
              <w:right w:type="dxa" w:w="100"/>
            </w:tcMar>
          </w:tcPr>
          <w:p>
            <w:pPr>
              <w:spacing w:after="0" w:line="240"/>
            </w:pPr>
            <w:r>
              <w:rPr>
                <w:sz w:val="17"/>
                <w:szCs w:val="17"/>
              </w:rPr>
              <w:t xml:space="preserve">24-27 branches + 7 malls</w:t>
            </w:r>
          </w:p>
        </w:tc>
        <w:tc>
          <w:tcPr>
            <w:tcW w:type="dxa" w:w="2914"/>
            <w:shd w:fill="F5F1E8" w:val="clear"/>
            <w:tcMar>
              <w:top w:type="dxa" w:w="80"/>
              <w:left w:type="dxa" w:w="100"/>
              <w:bottom w:type="dxa" w:w="80"/>
              <w:right w:type="dxa" w:w="100"/>
            </w:tcMar>
          </w:tcPr>
          <w:p>
            <w:pPr>
              <w:spacing w:after="0" w:line="240"/>
            </w:pPr>
            <w:r>
              <w:rPr>
                <w:sz w:val="17"/>
                <w:szCs w:val="17"/>
              </w:rPr>
              <w:t xml:space="preserve">Publicly backs Dubai's single-use bag ban</w:t>
            </w:r>
          </w:p>
        </w:tc>
      </w:tr>
      <w:tr>
        <w:tc>
          <w:tcPr>
            <w:tcW w:type="dxa" w:w="2912"/>
            <w:shd w:fill="FFFFFF" w:val="clear"/>
            <w:tcMar>
              <w:top w:type="dxa" w:w="80"/>
              <w:left w:type="dxa" w:w="100"/>
              <w:bottom w:type="dxa" w:w="80"/>
              <w:right w:type="dxa" w:w="100"/>
            </w:tcMar>
          </w:tcPr>
          <w:p>
            <w:pPr>
              <w:spacing w:after="0" w:line="240"/>
            </w:pPr>
            <w:r>
              <w:rPr>
                <w:b/>
                <w:bCs/>
                <w:sz w:val="17"/>
                <w:szCs w:val="17"/>
              </w:rPr>
              <w:t xml:space="preserve">Choithrams</w:t>
            </w:r>
          </w:p>
        </w:tc>
        <w:tc>
          <w:tcPr>
            <w:tcW w:type="dxa" w:w="2912"/>
            <w:shd w:fill="FFFFFF" w:val="clear"/>
            <w:tcMar>
              <w:top w:type="dxa" w:w="80"/>
              <w:left w:type="dxa" w:w="100"/>
              <w:bottom w:type="dxa" w:w="80"/>
              <w:right w:type="dxa" w:w="100"/>
            </w:tcMar>
          </w:tcPr>
          <w:p>
            <w:pPr>
              <w:spacing w:after="0" w:line="240"/>
            </w:pPr>
            <w:r>
              <w:rPr>
                <w:sz w:val="17"/>
                <w:szCs w:val="17"/>
              </w:rPr>
              <w:t xml:space="preserve">~30 stores</w:t>
            </w:r>
          </w:p>
        </w:tc>
        <w:tc>
          <w:tcPr>
            <w:tcW w:type="dxa" w:w="2914"/>
            <w:shd w:fill="FFFFFF" w:val="clear"/>
            <w:tcMar>
              <w:top w:type="dxa" w:w="80"/>
              <w:left w:type="dxa" w:w="100"/>
              <w:bottom w:type="dxa" w:w="80"/>
              <w:right w:type="dxa" w:w="100"/>
            </w:tcMar>
          </w:tcPr>
          <w:p>
            <w:pPr>
              <w:spacing w:after="0" w:line="240"/>
            </w:pPr>
            <w:r>
              <w:rPr>
                <w:sz w:val="17"/>
                <w:szCs w:val="17"/>
              </w:rPr>
              <w:t xml:space="preserve">"Bring It Back" bottle-return campaign with Bounz loyalty rewards; Emirates Nature-WWF partnership</w:t>
            </w:r>
          </w:p>
        </w:tc>
      </w:tr>
      <w:tr>
        <w:tc>
          <w:tcPr>
            <w:tcW w:type="dxa" w:w="2912"/>
            <w:shd w:fill="F5F1E8" w:val="clear"/>
            <w:tcMar>
              <w:top w:type="dxa" w:w="80"/>
              <w:left w:type="dxa" w:w="100"/>
              <w:bottom w:type="dxa" w:w="80"/>
              <w:right w:type="dxa" w:w="100"/>
            </w:tcMar>
          </w:tcPr>
          <w:p>
            <w:pPr>
              <w:spacing w:after="0" w:line="240"/>
            </w:pPr>
            <w:r>
              <w:rPr>
                <w:b/>
                <w:bCs/>
                <w:sz w:val="17"/>
                <w:szCs w:val="17"/>
              </w:rPr>
              <w:t xml:space="preserve">Fuel retail (ADNOC Distribution, ENOC/EPPCO)</w:t>
            </w:r>
          </w:p>
        </w:tc>
        <w:tc>
          <w:tcPr>
            <w:tcW w:type="dxa" w:w="2912"/>
            <w:shd w:fill="F5F1E8" w:val="clear"/>
            <w:tcMar>
              <w:top w:type="dxa" w:w="80"/>
              <w:left w:type="dxa" w:w="100"/>
              <w:bottom w:type="dxa" w:w="80"/>
              <w:right w:type="dxa" w:w="100"/>
            </w:tcMar>
          </w:tcPr>
          <w:p>
            <w:pPr>
              <w:spacing w:after="0" w:line="240"/>
            </w:pPr>
            <w:r>
              <w:rPr>
                <w:b/>
                <w:bCs/>
                <w:sz w:val="17"/>
                <w:szCs w:val="17"/>
              </w:rPr>
              <w:t xml:space="preserve">[DATA GAP: verified 2025-26 station and convenience-store counts not obtained this pass]</w:t>
            </w:r>
          </w:p>
        </w:tc>
        <w:tc>
          <w:tcPr>
            <w:tcW w:type="dxa" w:w="2914"/>
            <w:shd w:fill="F5F1E8" w:val="clear"/>
            <w:tcMar>
              <w:top w:type="dxa" w:w="80"/>
              <w:left w:type="dxa" w:w="100"/>
              <w:bottom w:type="dxa" w:w="80"/>
              <w:right w:type="dxa" w:w="100"/>
            </w:tcMar>
          </w:tcPr>
          <w:p>
            <w:pPr>
              <w:spacing w:after="0" w:line="240"/>
            </w:pPr>
            <w:r>
              <w:rPr>
                <w:sz w:val="17"/>
                <w:szCs w:val="17"/>
              </w:rPr>
              <w:t xml:space="preserve">Critical on-the-go return channel; counts to be verified in Phase 1</w:t>
            </w:r>
          </w:p>
        </w:tc>
      </w:tr>
      <w:tr>
        <w:tc>
          <w:tcPr>
            <w:tcW w:type="dxa" w:w="2912"/>
            <w:shd w:fill="FFFFFF" w:val="clear"/>
            <w:tcMar>
              <w:top w:type="dxa" w:w="80"/>
              <w:left w:type="dxa" w:w="100"/>
              <w:bottom w:type="dxa" w:w="80"/>
              <w:right w:type="dxa" w:w="100"/>
            </w:tcMar>
          </w:tcPr>
          <w:p>
            <w:pPr>
              <w:spacing w:after="0" w:line="240"/>
            </w:pPr>
            <w:r>
              <w:rPr>
                <w:b/>
                <w:bCs/>
                <w:sz w:val="17"/>
                <w:szCs w:val="17"/>
              </w:rPr>
              <w:t xml:space="preserve">Traditional trade (baqala)</w:t>
            </w:r>
          </w:p>
        </w:tc>
        <w:tc>
          <w:tcPr>
            <w:tcW w:type="dxa" w:w="2912"/>
            <w:shd w:fill="FFFFFF" w:val="clear"/>
            <w:tcMar>
              <w:top w:type="dxa" w:w="80"/>
              <w:left w:type="dxa" w:w="100"/>
              <w:bottom w:type="dxa" w:w="80"/>
              <w:right w:type="dxa" w:w="100"/>
            </w:tcMar>
          </w:tcPr>
          <w:p>
            <w:pPr>
              <w:spacing w:after="0" w:line="240"/>
            </w:pPr>
            <w:r>
              <w:rPr>
                <w:sz w:val="17"/>
                <w:szCs w:val="17"/>
              </w:rPr>
              <w:t xml:space="preserve">Thousands of independents</w:t>
            </w:r>
          </w:p>
        </w:tc>
        <w:tc>
          <w:tcPr>
            <w:tcW w:type="dxa" w:w="2914"/>
            <w:shd w:fill="FFFFFF" w:val="clear"/>
            <w:tcMar>
              <w:top w:type="dxa" w:w="80"/>
              <w:left w:type="dxa" w:w="100"/>
              <w:bottom w:type="dxa" w:w="80"/>
              <w:right w:type="dxa" w:w="100"/>
            </w:tcMar>
          </w:tcPr>
          <w:p>
            <w:pPr>
              <w:spacing w:after="0" w:line="240"/>
            </w:pPr>
            <w:r>
              <w:rPr>
                <w:sz w:val="17"/>
                <w:szCs w:val="17"/>
              </w:rPr>
              <w:t xml:space="preserve">Manual counter-collection tier; shop-floor-area thresholds per European practice</w:t>
            </w:r>
          </w:p>
        </w:tc>
      </w:tr>
    </w:tbl>
    <w:p>
      <w:pPr>
        <w:spacing w:after="200"/>
      </w:pPr>
      <w:r>
        <w:rPr>
          <w:sz w:val="8"/>
          <w:szCs w:val="8"/>
        </w:rPr>
        <w:t xml:space="preserve"/>
      </w:r>
    </w:p>
    <w:p>
      <w:pPr>
        <w:spacing w:after="160" w:line="300"/>
        <w:jc w:val="both"/>
      </w:pPr>
      <w:r>
        <w:t xml:space="preserve">Channel structure reinforces the design: supermarkets/hypermarkets hold ~38.6% of bottled-water channel share, off-trade 65.3% overall, with direct/HOD delivery growing fastest (~10.8% CAGR) </w:t>
      </w:r>
      <w:r>
        <w:rPr>
          <w:b/>
          <w:bCs/>
        </w:rPr>
        <w:t xml:space="preserve">[ESTIMATE]</w:t>
      </w:r>
      <w:r>
        <w:t xml:space="preserve"> (IMARC/Mordor, 2026). The survey's operational guidance for return points - space, power, shading/air-conditioning, storage, servicing frequency, odour control, connectivity, queue management and anti-fraud - should anchor site-selection criteria (Survey, 2026).</w:t>
      </w:r>
    </w:p>
    <w:p>
      <w:pPr>
        <w:spacing w:after="160" w:line="300"/>
        <w:jc w:val="both"/>
      </w:pPr>
      <w:r>
        <w:t xml:space="preserve">For scale context: the recommended national network is </w:t>
      </w:r>
      <w:r>
        <w:rPr>
          <w:b/>
          <w:bCs/>
        </w:rPr>
        <w:t xml:space="preserve">3,500 RVMs plus ~5,500 manual/HoReCa return points (~9,000 points total, ~1,250 people per point)</w:t>
      </w:r>
      <w:r>
        <w:t xml:space="preserve"> (Chapter 6 base case, per the MDPI 2023 UAE study's 3,500+ RVM requirement and European density benchmarks). Against that requirement, the entire installed voluntary base - detailed in §5.6 - is roughly 150-200 machines. </w:t>
      </w:r>
      <w:r>
        <w:rPr>
          <w:b/>
          <w:bCs/>
        </w:rPr>
        <w:t xml:space="preserve">The delta between ~150 voluntary machines and ~9,000 mandated return points is, in physical terms, the whole argument for a regulated system.</w:t>
      </w:r>
    </w:p>
    <w:p>
      <w:pPr>
        <w:pStyle w:val="Heading2"/>
        <w:keepNext/>
        <w:spacing w:after="140" w:before="340"/>
      </w:pPr>
      <w:r>
        <w:rPr>
          <w:rFonts w:ascii="Georgia" w:cs="Georgia" w:eastAsia="Georgia" w:hAnsi="Georgia"/>
          <w:b/>
          <w:bCs/>
          <w:color w:val="1B2A4A"/>
          <w:sz w:val="30"/>
          <w:szCs w:val="30"/>
        </w:rPr>
        <w:t xml:space="preserve">5.5 Existing Recycling Infrastructure</w:t>
      </w:r>
    </w:p>
    <w:p>
      <w:pPr>
        <w:spacing w:after="160" w:line="300"/>
        <w:jc w:val="both"/>
      </w:pPr>
      <w:r>
        <w:t xml:space="preserve">The UAE's processing backbone is real, modern, and materially under-fed by clean feedstock - precisely the problem a DRS solves.</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2912"/>
        <w:gridCol w:w="2912"/>
        <w:gridCol w:w="2914"/>
      </w:tblGrid>
      <w:tr>
        <w:trPr>
          <w:tblHeader/>
        </w:trPr>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Asset</w:t>
            </w:r>
          </w:p>
        </w:tc>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Capacity / status</w:t>
            </w:r>
          </w:p>
        </w:tc>
        <w:tc>
          <w:tcPr>
            <w:tcW w:type="dxa" w:w="291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Notes</w:t>
            </w:r>
          </w:p>
        </w:tc>
      </w:tr>
      <w:tr>
        <w:tc>
          <w:tcPr>
            <w:tcW w:type="dxa" w:w="2912"/>
            <w:shd w:fill="FFFFFF" w:val="clear"/>
            <w:tcMar>
              <w:top w:type="dxa" w:w="80"/>
              <w:left w:type="dxa" w:w="100"/>
              <w:bottom w:type="dxa" w:w="80"/>
              <w:right w:type="dxa" w:w="100"/>
            </w:tcMar>
          </w:tcPr>
          <w:p>
            <w:pPr>
              <w:spacing w:after="0" w:line="240"/>
            </w:pPr>
            <w:r>
              <w:rPr>
                <w:b/>
                <w:bCs/>
                <w:sz w:val="17"/>
                <w:szCs w:val="17"/>
              </w:rPr>
              <w:t xml:space="preserve">Farz materials recovery facility (MRF)</w:t>
            </w:r>
            <w:r>
              <w:rPr>
                <w:sz w:val="17"/>
                <w:szCs w:val="17"/>
              </w:rPr>
              <w:t xml:space="preserve"> (Imdaad, Dubai, 2020)</w:t>
            </w:r>
          </w:p>
        </w:tc>
        <w:tc>
          <w:tcPr>
            <w:tcW w:type="dxa" w:w="2912"/>
            <w:shd w:fill="FFFFFF" w:val="clear"/>
            <w:tcMar>
              <w:top w:type="dxa" w:w="80"/>
              <w:left w:type="dxa" w:w="100"/>
              <w:bottom w:type="dxa" w:w="80"/>
              <w:right w:type="dxa" w:w="100"/>
            </w:tcMar>
          </w:tcPr>
          <w:p>
            <w:pPr>
              <w:spacing w:after="0" w:line="240"/>
            </w:pPr>
            <w:r>
              <w:rPr>
                <w:b/>
                <w:bCs/>
                <w:sz w:val="17"/>
                <w:szCs w:val="17"/>
              </w:rPr>
              <w:t xml:space="preserve">1,200 t/day</w:t>
            </w:r>
            <w:r>
              <w:rPr>
                <w:sz w:val="17"/>
                <w:szCs w:val="17"/>
              </w:rPr>
              <w:t xml:space="preserve"> MSW + C&amp;I; 45,322 m²; six TOMRA AUTOSORT units</w:t>
            </w:r>
          </w:p>
        </w:tc>
        <w:tc>
          <w:tcPr>
            <w:tcW w:type="dxa" w:w="2914"/>
            <w:shd w:fill="FFFFFF" w:val="clear"/>
            <w:tcMar>
              <w:top w:type="dxa" w:w="80"/>
              <w:left w:type="dxa" w:w="100"/>
              <w:bottom w:type="dxa" w:w="80"/>
              <w:right w:type="dxa" w:w="100"/>
            </w:tcMar>
          </w:tcPr>
          <w:p>
            <w:pPr>
              <w:spacing w:after="0" w:line="240"/>
            </w:pPr>
            <w:r>
              <w:rPr>
                <w:sz w:val="17"/>
                <w:szCs w:val="17"/>
              </w:rPr>
              <w:t xml:space="preserve">25-30% recovery rate; ~13% of Dubai's daily waste; recovers PET, HDPE, metals, OCC </w:t>
            </w:r>
            <w:r>
              <w:rPr>
                <w:b/>
                <w:bCs/>
                <w:sz w:val="17"/>
                <w:szCs w:val="17"/>
              </w:rPr>
              <w:t xml:space="preserve">[PUBLISHED]</w:t>
            </w:r>
          </w:p>
        </w:tc>
      </w:tr>
      <w:tr>
        <w:tc>
          <w:tcPr>
            <w:tcW w:type="dxa" w:w="2912"/>
            <w:shd w:fill="F5F1E8" w:val="clear"/>
            <w:tcMar>
              <w:top w:type="dxa" w:w="80"/>
              <w:left w:type="dxa" w:w="100"/>
              <w:bottom w:type="dxa" w:w="80"/>
              <w:right w:type="dxa" w:w="100"/>
            </w:tcMar>
          </w:tcPr>
          <w:p>
            <w:pPr>
              <w:spacing w:after="0" w:line="240"/>
            </w:pPr>
            <w:r>
              <w:rPr>
                <w:b/>
                <w:bCs/>
                <w:sz w:val="17"/>
                <w:szCs w:val="17"/>
              </w:rPr>
              <w:t xml:space="preserve">BEEAH</w:t>
            </w:r>
            <w:r>
              <w:rPr>
                <w:sz w:val="17"/>
                <w:szCs w:val="17"/>
              </w:rPr>
              <w:t xml:space="preserve"> (Sharjah)</w:t>
            </w:r>
          </w:p>
        </w:tc>
        <w:tc>
          <w:tcPr>
            <w:tcW w:type="dxa" w:w="2912"/>
            <w:shd w:fill="F5F1E8" w:val="clear"/>
            <w:tcMar>
              <w:top w:type="dxa" w:w="80"/>
              <w:left w:type="dxa" w:w="100"/>
              <w:bottom w:type="dxa" w:w="80"/>
              <w:right w:type="dxa" w:w="100"/>
            </w:tcMar>
          </w:tcPr>
          <w:p>
            <w:pPr>
              <w:spacing w:after="0" w:line="240"/>
            </w:pPr>
            <w:r>
              <w:rPr>
                <w:sz w:val="17"/>
                <w:szCs w:val="17"/>
              </w:rPr>
              <w:t xml:space="preserve">MRF </w:t>
            </w:r>
            <w:r>
              <w:rPr>
                <w:b/>
                <w:bCs/>
                <w:sz w:val="17"/>
                <w:szCs w:val="17"/>
              </w:rPr>
              <w:t xml:space="preserve">&gt;600,000 t/yr</w:t>
            </w:r>
            <w:r>
              <w:rPr>
                <w:sz w:val="17"/>
                <w:szCs w:val="17"/>
              </w:rPr>
              <w:t xml:space="preserve"> (world's 3rd largest); C&amp;I plant with AI/robotics (34% recovery); SRF 73,000 t/yr; WtE 300,000 t/yr expanding to 600,000 t</w:t>
            </w:r>
          </w:p>
        </w:tc>
        <w:tc>
          <w:tcPr>
            <w:tcW w:type="dxa" w:w="2914"/>
            <w:shd w:fill="F5F1E8" w:val="clear"/>
            <w:tcMar>
              <w:top w:type="dxa" w:w="80"/>
              <w:left w:type="dxa" w:w="100"/>
              <w:bottom w:type="dxa" w:w="80"/>
              <w:right w:type="dxa" w:w="100"/>
            </w:tcMar>
          </w:tcPr>
          <w:p>
            <w:pPr>
              <w:spacing w:after="0" w:line="240"/>
            </w:pPr>
            <w:r>
              <w:rPr>
                <w:sz w:val="17"/>
                <w:szCs w:val="17"/>
              </w:rPr>
              <w:t xml:space="preserve">Sharjah reports </w:t>
            </w:r>
            <w:r>
              <w:rPr>
                <w:b/>
                <w:bCs/>
                <w:sz w:val="17"/>
                <w:szCs w:val="17"/>
              </w:rPr>
              <w:t xml:space="preserve">93% landfill diversion</w:t>
            </w:r>
            <w:r>
              <w:rPr>
                <w:sz w:val="17"/>
                <w:szCs w:val="17"/>
              </w:rPr>
              <w:t xml:space="preserve"> </w:t>
            </w:r>
            <w:r>
              <w:rPr>
                <w:b/>
                <w:bCs/>
                <w:sz w:val="17"/>
                <w:szCs w:val="17"/>
              </w:rPr>
              <w:t xml:space="preserve">[PUBLISHED]</w:t>
            </w:r>
            <w:r>
              <w:rPr>
                <w:sz w:val="17"/>
                <w:szCs w:val="17"/>
              </w:rPr>
              <w:t xml:space="preserve"> (BEEAH; Zawya, 2024)</w:t>
            </w:r>
          </w:p>
        </w:tc>
      </w:tr>
      <w:tr>
        <w:tc>
          <w:tcPr>
            <w:tcW w:type="dxa" w:w="2912"/>
            <w:shd w:fill="FFFFFF" w:val="clear"/>
            <w:tcMar>
              <w:top w:type="dxa" w:w="80"/>
              <w:left w:type="dxa" w:w="100"/>
              <w:bottom w:type="dxa" w:w="80"/>
              <w:right w:type="dxa" w:w="100"/>
            </w:tcMar>
          </w:tcPr>
          <w:p>
            <w:pPr>
              <w:spacing w:after="0" w:line="240"/>
            </w:pPr>
            <w:r>
              <w:rPr>
                <w:b/>
                <w:bCs/>
                <w:sz w:val="17"/>
                <w:szCs w:val="17"/>
              </w:rPr>
              <w:t xml:space="preserve">Tadweer Group</w:t>
            </w:r>
            <w:r>
              <w:rPr>
                <w:sz w:val="17"/>
                <w:szCs w:val="17"/>
              </w:rPr>
              <w:t xml:space="preserve"> (Abu Dhabi, ADQ-owned)</w:t>
            </w:r>
          </w:p>
        </w:tc>
        <w:tc>
          <w:tcPr>
            <w:tcW w:type="dxa" w:w="2912"/>
            <w:shd w:fill="FFFFFF" w:val="clear"/>
            <w:tcMar>
              <w:top w:type="dxa" w:w="80"/>
              <w:left w:type="dxa" w:w="100"/>
              <w:bottom w:type="dxa" w:w="80"/>
              <w:right w:type="dxa" w:w="100"/>
            </w:tcMar>
          </w:tcPr>
          <w:p>
            <w:pPr>
              <w:spacing w:after="0" w:line="240"/>
            </w:pPr>
            <w:r>
              <w:rPr>
                <w:sz w:val="17"/>
                <w:szCs w:val="17"/>
              </w:rPr>
              <w:t xml:space="preserve">Existing MRF ~300,000 t/yr; </w:t>
            </w:r>
            <w:r>
              <w:rPr>
                <w:b/>
                <w:bCs/>
                <w:sz w:val="17"/>
                <w:szCs w:val="17"/>
              </w:rPr>
              <w:t xml:space="preserve">new greenfield MRF awarded to Urbaser (July 2026): 400,000 t/yr, operations from 2028</w:t>
            </w:r>
            <w:r>
              <w:rPr>
                <w:sz w:val="17"/>
                <w:szCs w:val="17"/>
              </w:rPr>
              <w:t xml:space="preserve">, optical/AI sorting</w:t>
            </w:r>
          </w:p>
        </w:tc>
        <w:tc>
          <w:tcPr>
            <w:tcW w:type="dxa" w:w="2914"/>
            <w:shd w:fill="FFFFFF" w:val="clear"/>
            <w:tcMar>
              <w:top w:type="dxa" w:w="80"/>
              <w:left w:type="dxa" w:w="100"/>
              <w:bottom w:type="dxa" w:w="80"/>
              <w:right w:type="dxa" w:w="100"/>
            </w:tcMar>
          </w:tcPr>
          <w:p>
            <w:pPr>
              <w:spacing w:after="0" w:line="240"/>
            </w:pPr>
            <w:r>
              <w:rPr>
                <w:sz w:val="17"/>
                <w:szCs w:val="17"/>
              </w:rPr>
              <w:t xml:space="preserve">Also operates </w:t>
            </w:r>
            <w:r>
              <w:rPr>
                <w:b/>
                <w:bCs/>
                <w:sz w:val="17"/>
                <w:szCs w:val="17"/>
              </w:rPr>
              <w:t xml:space="preserve">25 RVMs</w:t>
            </w:r>
            <w:r>
              <w:rPr>
                <w:sz w:val="17"/>
                <w:szCs w:val="17"/>
              </w:rPr>
              <w:t xml:space="preserve"> + Tadweer Rewards app </w:t>
            </w:r>
            <w:r>
              <w:rPr>
                <w:b/>
                <w:bCs/>
                <w:sz w:val="17"/>
                <w:szCs w:val="17"/>
              </w:rPr>
              <w:t xml:space="preserve">[PUBLISHED]</w:t>
            </w:r>
            <w:r>
              <w:rPr>
                <w:sz w:val="17"/>
                <w:szCs w:val="17"/>
              </w:rPr>
              <w:t xml:space="preserve"> (Tadweer, 2026)</w:t>
            </w:r>
          </w:p>
        </w:tc>
      </w:tr>
      <w:tr>
        <w:tc>
          <w:tcPr>
            <w:tcW w:type="dxa" w:w="2912"/>
            <w:shd w:fill="F5F1E8" w:val="clear"/>
            <w:tcMar>
              <w:top w:type="dxa" w:w="80"/>
              <w:left w:type="dxa" w:w="100"/>
              <w:bottom w:type="dxa" w:w="80"/>
              <w:right w:type="dxa" w:w="100"/>
            </w:tcMar>
          </w:tcPr>
          <w:p>
            <w:pPr>
              <w:spacing w:after="0" w:line="240"/>
            </w:pPr>
            <w:r>
              <w:rPr>
                <w:b/>
                <w:bCs/>
                <w:sz w:val="17"/>
                <w:szCs w:val="17"/>
              </w:rPr>
              <w:t xml:space="preserve">DGrade</w:t>
            </w:r>
            <w:r>
              <w:rPr>
                <w:sz w:val="17"/>
                <w:szCs w:val="17"/>
              </w:rPr>
              <w:t xml:space="preserve"> (KIZAD, 2022)</w:t>
            </w:r>
          </w:p>
        </w:tc>
        <w:tc>
          <w:tcPr>
            <w:tcW w:type="dxa" w:w="2912"/>
            <w:shd w:fill="F5F1E8" w:val="clear"/>
            <w:tcMar>
              <w:top w:type="dxa" w:w="80"/>
              <w:left w:type="dxa" w:w="100"/>
              <w:bottom w:type="dxa" w:w="80"/>
              <w:right w:type="dxa" w:w="100"/>
            </w:tcMar>
          </w:tcPr>
          <w:p>
            <w:pPr>
              <w:spacing w:after="0" w:line="240"/>
            </w:pPr>
            <w:r>
              <w:rPr>
                <w:sz w:val="17"/>
                <w:szCs w:val="17"/>
              </w:rPr>
              <w:t xml:space="preserve">Up to </w:t>
            </w:r>
            <w:r>
              <w:rPr>
                <w:b/>
                <w:bCs/>
                <w:sz w:val="17"/>
                <w:szCs w:val="17"/>
              </w:rPr>
              <w:t xml:space="preserve">1 billion bottles/yr</w:t>
            </w:r>
            <w:r>
              <w:rPr>
                <w:sz w:val="17"/>
                <w:szCs w:val="17"/>
              </w:rPr>
              <w:t xml:space="preserve"> PET flake; TOMRA sorting; 80% process-water recycling</w:t>
            </w:r>
          </w:p>
        </w:tc>
        <w:tc>
          <w:tcPr>
            <w:tcW w:type="dxa" w:w="2914"/>
            <w:shd w:fill="F5F1E8" w:val="clear"/>
            <w:tcMar>
              <w:top w:type="dxa" w:w="80"/>
              <w:left w:type="dxa" w:w="100"/>
              <w:bottom w:type="dxa" w:w="80"/>
              <w:right w:type="dxa" w:w="100"/>
            </w:tcMar>
          </w:tcPr>
          <w:p>
            <w:pPr>
              <w:spacing w:after="0" w:line="240"/>
            </w:pPr>
            <w:r>
              <w:rPr>
                <w:sz w:val="17"/>
                <w:szCs w:val="17"/>
              </w:rPr>
              <w:t xml:space="preserve">Bottle-to-</w:t>
            </w:r>
            <w:r>
              <w:rPr>
                <w:b/>
                <w:bCs/>
                <w:sz w:val="17"/>
                <w:szCs w:val="17"/>
              </w:rPr>
              <w:t xml:space="preserve">fibre</w:t>
            </w:r>
            <w:r>
              <w:rPr>
                <w:sz w:val="17"/>
                <w:szCs w:val="17"/>
              </w:rPr>
              <w:t xml:space="preserve"> (open loop) - output leaves the bottle stream</w:t>
            </w:r>
          </w:p>
        </w:tc>
      </w:tr>
      <w:tr>
        <w:tc>
          <w:tcPr>
            <w:tcW w:type="dxa" w:w="2912"/>
            <w:shd w:fill="FFFFFF" w:val="clear"/>
            <w:tcMar>
              <w:top w:type="dxa" w:w="80"/>
              <w:left w:type="dxa" w:w="100"/>
              <w:bottom w:type="dxa" w:w="80"/>
              <w:right w:type="dxa" w:w="100"/>
            </w:tcMar>
          </w:tcPr>
          <w:p>
            <w:pPr>
              <w:spacing w:after="0" w:line="240"/>
            </w:pPr>
            <w:r>
              <w:rPr>
                <w:b/>
                <w:bCs/>
                <w:sz w:val="17"/>
                <w:szCs w:val="17"/>
              </w:rPr>
              <w:t xml:space="preserve">Veolia Repeet rPET</w:t>
            </w:r>
            <w:r>
              <w:rPr>
                <w:sz w:val="17"/>
                <w:szCs w:val="17"/>
              </w:rPr>
              <w:t xml:space="preserve"> (announced Jan 2023)</w:t>
            </w:r>
          </w:p>
        </w:tc>
        <w:tc>
          <w:tcPr>
            <w:tcW w:type="dxa" w:w="2912"/>
            <w:shd w:fill="FFFFFF" w:val="clear"/>
            <w:tcMar>
              <w:top w:type="dxa" w:w="80"/>
              <w:left w:type="dxa" w:w="100"/>
              <w:bottom w:type="dxa" w:w="80"/>
              <w:right w:type="dxa" w:w="100"/>
            </w:tcMar>
          </w:tcPr>
          <w:p>
            <w:pPr>
              <w:spacing w:after="0" w:line="240"/>
            </w:pPr>
            <w:r>
              <w:rPr>
                <w:b/>
                <w:bCs/>
                <w:sz w:val="17"/>
                <w:szCs w:val="17"/>
              </w:rPr>
              <w:t xml:space="preserve">12,000 t/yr food-grade rPET</w:t>
            </w:r>
            <w:r>
              <w:rPr>
                <w:sz w:val="17"/>
                <w:szCs w:val="17"/>
              </w:rPr>
              <w:t xml:space="preserve">, Abu Dhabi; Bee'ah 7-yr feedstock; Agthia 7-yr offtake; 18,000 t CO₂ avoided/yr</w:t>
            </w:r>
          </w:p>
        </w:tc>
        <w:tc>
          <w:tcPr>
            <w:tcW w:type="dxa" w:w="2914"/>
            <w:shd w:fill="FFFFFF" w:val="clear"/>
            <w:tcMar>
              <w:top w:type="dxa" w:w="80"/>
              <w:left w:type="dxa" w:w="100"/>
              <w:bottom w:type="dxa" w:w="80"/>
              <w:right w:type="dxa" w:w="100"/>
            </w:tcMar>
          </w:tcPr>
          <w:p>
            <w:pPr>
              <w:spacing w:after="0" w:line="240"/>
            </w:pPr>
            <w:r>
              <w:rPr>
                <w:b/>
                <w:bCs/>
                <w:sz w:val="17"/>
                <w:szCs w:val="17"/>
              </w:rPr>
              <w:t xml:space="preserve">[DATA GAP: commissioning status unverified - no confirmed operational date found]</w:t>
            </w:r>
            <w:r>
              <w:rPr>
                <w:sz w:val="17"/>
                <w:szCs w:val="17"/>
              </w:rPr>
              <w:t xml:space="preserve"> (MoIAT, 2023)</w:t>
            </w:r>
          </w:p>
        </w:tc>
      </w:tr>
      <w:tr>
        <w:tc>
          <w:tcPr>
            <w:tcW w:type="dxa" w:w="2912"/>
            <w:shd w:fill="F5F1E8" w:val="clear"/>
            <w:tcMar>
              <w:top w:type="dxa" w:w="80"/>
              <w:left w:type="dxa" w:w="100"/>
              <w:bottom w:type="dxa" w:w="80"/>
              <w:right w:type="dxa" w:w="100"/>
            </w:tcMar>
          </w:tcPr>
          <w:p>
            <w:pPr>
              <w:spacing w:after="0" w:line="240"/>
            </w:pPr>
            <w:r>
              <w:rPr>
                <w:b/>
                <w:bCs/>
                <w:sz w:val="17"/>
                <w:szCs w:val="17"/>
              </w:rPr>
              <w:t xml:space="preserve">EGA Al Taweelah</w:t>
            </w:r>
          </w:p>
        </w:tc>
        <w:tc>
          <w:tcPr>
            <w:tcW w:type="dxa" w:w="2912"/>
            <w:shd w:fill="F5F1E8" w:val="clear"/>
            <w:tcMar>
              <w:top w:type="dxa" w:w="80"/>
              <w:left w:type="dxa" w:w="100"/>
              <w:bottom w:type="dxa" w:w="80"/>
              <w:right w:type="dxa" w:w="100"/>
            </w:tcMar>
          </w:tcPr>
          <w:p>
            <w:pPr>
              <w:spacing w:after="0" w:line="240"/>
            </w:pPr>
            <w:r>
              <w:rPr>
                <w:b/>
                <w:bCs/>
                <w:sz w:val="17"/>
                <w:szCs w:val="17"/>
              </w:rPr>
              <w:t xml:space="preserve">185,000 t/yr</w:t>
            </w:r>
            <w:r>
              <w:rPr>
                <w:sz w:val="17"/>
                <w:szCs w:val="17"/>
              </w:rPr>
              <w:t xml:space="preserve"> aluminium recycling - UAE's largest - started production 2026; scrap sorting up to 150,000 t/yr</w:t>
            </w:r>
          </w:p>
        </w:tc>
        <w:tc>
          <w:tcPr>
            <w:tcW w:type="dxa" w:w="2914"/>
            <w:shd w:fill="F5F1E8" w:val="clear"/>
            <w:tcMar>
              <w:top w:type="dxa" w:w="80"/>
              <w:left w:type="dxa" w:w="100"/>
              <w:bottom w:type="dxa" w:w="80"/>
              <w:right w:type="dxa" w:w="100"/>
            </w:tcMar>
          </w:tcPr>
          <w:p>
            <w:pPr>
              <w:spacing w:after="0" w:line="240"/>
            </w:pPr>
            <w:r>
              <w:rPr>
                <w:sz w:val="17"/>
                <w:szCs w:val="17"/>
              </w:rPr>
              <w:t xml:space="preserve">First domestic sink for can-to-can recycling </w:t>
            </w:r>
            <w:r>
              <w:rPr>
                <w:b/>
                <w:bCs/>
                <w:sz w:val="17"/>
                <w:szCs w:val="17"/>
              </w:rPr>
              <w:t xml:space="preserve">[PUBLISHED]</w:t>
            </w:r>
            <w:r>
              <w:rPr>
                <w:sz w:val="17"/>
                <w:szCs w:val="17"/>
              </w:rPr>
              <w:t xml:space="preserve"> (EGA, 2026)</w:t>
            </w:r>
          </w:p>
        </w:tc>
      </w:tr>
    </w:tbl>
    <w:p>
      <w:pPr>
        <w:spacing w:after="200"/>
      </w:pPr>
      <w:r>
        <w:rPr>
          <w:sz w:val="8"/>
          <w:szCs w:val="8"/>
        </w:rPr>
        <w:t xml:space="preserve"/>
      </w:r>
    </w:p>
    <w:p>
      <w:pPr>
        <w:spacing w:after="160" w:line="300"/>
        <w:jc w:val="both"/>
      </w:pPr>
      <w:r>
        <w:rPr>
          <w:b/>
          <w:bCs/>
        </w:rPr>
        <w:t xml:space="preserve">The feedstock arithmetic is stark.</w:t>
      </w:r>
      <w:r>
        <w:t xml:space="preserve"> Against a PET water-bottle stream alone of ~58 kt/yr (MDPI, 2023), existing bottle-to-fibre capacity (DGrade, ~1 bn bottles/yr maximum) plus announced food-grade rPET (Repeet, 12 kt/yr) is structurally short - and DGrade's output is open-loop fibre, not bottle resin. Academic analysis indicates a maximum of 60% recycled content is achievable from the 0.5 L stream alone; higher food-grade content requires capturing the wider PET container pool - which only a high-capture system can deliver (Jadayil et al., 2023). On aluminium, EGA's Al Taweelah plant (185 kt/yr) now provides the domestic remelt sink that exported cans previously lacked. On glass, no container-glass furnace exists: DRS cullet would initially be aggregated for export or downcycling.</w:t>
      </w:r>
    </w:p>
    <w:p>
      <w:pPr>
        <w:pBdr>
          <w:left w:val="single" w:color="C9A227" w:sz="18"/>
        </w:pBdr>
        <w:shd w:fill="F5F1E8" w:val="clear"/>
        <w:spacing w:after="100" w:before="60" w:line="280"/>
        <w:ind w:left="260" w:right="260"/>
      </w:pPr>
      <w:r>
        <w:rPr>
          <w:color w:val="1B2A4A"/>
          <w:sz w:val="20"/>
          <w:szCs w:val="20"/>
        </w:rPr>
        <w:t xml:space="preserve">The UAE has built the back end of a circular economy - MRFs, rPET, aluminium remelt - without building the front end that feeds it. </w:t>
      </w:r>
      <w:r>
        <w:rPr>
          <w:b/>
          <w:bCs/>
          <w:color w:val="1B2A4A"/>
          <w:sz w:val="20"/>
          <w:szCs w:val="20"/>
        </w:rPr>
        <w:t xml:space="preserve">A DRS is the missing feedstock engine.</w:t>
      </w:r>
    </w:p>
    <w:p>
      <w:pPr>
        <w:spacing w:after="120"/>
      </w:pPr>
      <w:r>
        <w:rPr>
          <w:sz w:val="8"/>
          <w:szCs w:val="8"/>
        </w:rPr>
        <w:t xml:space="preserve"/>
      </w:r>
    </w:p>
    <w:p>
      <w:pPr>
        <w:pStyle w:val="Heading2"/>
        <w:keepNext/>
        <w:spacing w:after="140" w:before="340"/>
      </w:pPr>
      <w:r>
        <w:rPr>
          <w:rFonts w:ascii="Georgia" w:cs="Georgia" w:eastAsia="Georgia" w:hAnsi="Georgia"/>
          <w:b/>
          <w:bCs/>
          <w:color w:val="1B2A4A"/>
          <w:sz w:val="30"/>
          <w:szCs w:val="30"/>
        </w:rPr>
        <w:t xml:space="preserve">5.6 Voluntary Collection Today - and Why It Plateaus</w:t>
      </w:r>
    </w:p>
    <w:p>
      <w:pPr>
        <w:spacing w:after="160" w:line="300"/>
        <w:jc w:val="both"/>
      </w:pPr>
      <w:r>
        <w:t xml:space="preserve">The UAE is not starting from zero. It is starting from a decade of well-intentioned voluntary schemes whose combined results demonstrate, with unusual clarity, why voluntary networks plateau.</w:t>
      </w:r>
    </w:p>
    <w:p>
      <w:pPr>
        <w:spacing w:after="160" w:line="300"/>
        <w:jc w:val="both"/>
      </w:pPr>
      <w:r>
        <w:rPr>
          <w:b/>
          <w:bCs/>
        </w:rPr>
        <w:t xml:space="preserve">What exists today:</w:t>
      </w:r>
    </w:p>
    <w:p>
      <w:pPr>
        <w:spacing w:after="90" w:line="290"/>
        <w:ind w:left="380" w:hanging="180"/>
      </w:pPr>
      <w:r>
        <w:rPr>
          <w:b/>
          <w:bCs/>
          <w:color w:val="C9A227"/>
        </w:rPr>
        <w:t xml:space="preserve">• </w:t>
      </w:r>
      <w:r>
        <w:rPr>
          <w:b/>
          <w:bCs/>
        </w:rPr>
        <w:t xml:space="preserve">EAD Bottle Return Scheme (Abu Dhabi, with Sparklo, since 2023):</w:t>
      </w:r>
      <w:r>
        <w:t xml:space="preserve"> more than </w:t>
      </w:r>
      <w:r>
        <w:rPr>
          <w:b/>
          <w:bCs/>
        </w:rPr>
        <w:t xml:space="preserve">2,000 tonnes of bottles recovered since launch; 23 million recyclables collected in 2024 alone</w:t>
      </w:r>
      <w:r>
        <w:t xml:space="preserve"> (544 t plastic, 18 t aluminium) through </w:t>
      </w:r>
      <w:r>
        <w:rPr>
          <w:b/>
          <w:bCs/>
        </w:rPr>
        <w:t xml:space="preserve">100+ Sparklomat RVMs</w:t>
      </w:r>
      <w:r>
        <w:t xml:space="preserve"> </w:t>
      </w:r>
      <w:r>
        <w:rPr>
          <w:b/>
          <w:bCs/>
        </w:rPr>
        <w:t xml:space="preserve">[PUBLISHED]</w:t>
      </w:r>
      <w:r>
        <w:t xml:space="preserve"> (Abu Dhabi Media Office). EAD has also announced RVM roll-outs with retailers (70 machines announced 2023; 18 committed at Carrefour stores). </w:t>
      </w:r>
      <w:r>
        <w:rPr>
          <w:i/>
          <w:iCs/>
        </w:rPr>
        <w:t xml:space="preserve">[Note: this study uses only the published EAD/Sparklo series; Phase 1 should reconcile EAD's cumulative figures beyond 2024.]</w:t>
      </w:r>
    </w:p>
    <w:p>
      <w:pPr>
        <w:spacing w:after="90" w:line="290"/>
        <w:ind w:left="380" w:hanging="180"/>
      </w:pPr>
      <w:r>
        <w:rPr>
          <w:b/>
          <w:bCs/>
          <w:color w:val="C9A227"/>
        </w:rPr>
        <w:t xml:space="preserve">• </w:t>
      </w:r>
      <w:r>
        <w:rPr>
          <w:b/>
          <w:bCs/>
        </w:rPr>
        <w:t xml:space="preserve">Tadweer RVMs (Abu Dhabi):</w:t>
      </w:r>
      <w:r>
        <w:t xml:space="preserve"> 25 machines (400 L each, PET + cans) at ADNEC, airport and parks, plus a rewards app (Waste &amp; Recycling MEA, 2024). Tadweer has signed an MoU with </w:t>
      </w:r>
      <w:r>
        <w:rPr>
          <w:b/>
          <w:bCs/>
        </w:rPr>
        <w:t xml:space="preserve">TOMRA</w:t>
      </w:r>
      <w:r>
        <w:t xml:space="preserve"> - which established permanent Middle East entities in Abu Dhabi and Riyadh in April 2025 - for a nationwide voluntary PET/can/glass return programme (WAM, 2025).</w:t>
      </w:r>
    </w:p>
    <w:p>
      <w:pPr>
        <w:spacing w:after="90" w:line="290"/>
        <w:ind w:left="380" w:hanging="180"/>
      </w:pPr>
      <w:r>
        <w:rPr>
          <w:b/>
          <w:bCs/>
          <w:color w:val="C9A227"/>
        </w:rPr>
        <w:t xml:space="preserve">• </w:t>
      </w:r>
      <w:r>
        <w:rPr>
          <w:b/>
          <w:bCs/>
        </w:rPr>
        <w:t xml:space="preserve">Sparklo ("Sparklomats"):</w:t>
      </w:r>
      <w:r>
        <w:t xml:space="preserve"> reward-based PET/can RVMs; Mai Dubai partnership (30 AI-powered machines across 5 emirates, 2025); Tabreed partnership (16 machines, projected &gt;4M containers/yr; single-machine record &gt;13,000 containers/day, 2025). </w:t>
      </w:r>
      <w:r>
        <w:rPr>
          <w:b/>
          <w:bCs/>
        </w:rPr>
        <w:t xml:space="preserve">[DATA GAP: total national Sparklomat count and cumulative collections not published.]</w:t>
      </w:r>
    </w:p>
    <w:p>
      <w:pPr>
        <w:spacing w:after="90" w:line="290"/>
        <w:ind w:left="380" w:hanging="180"/>
      </w:pPr>
      <w:r>
        <w:rPr>
          <w:b/>
          <w:bCs/>
          <w:color w:val="C9A227"/>
        </w:rPr>
        <w:t xml:space="preserve">• </w:t>
      </w:r>
      <w:r>
        <w:rPr>
          <w:b/>
          <w:bCs/>
        </w:rPr>
        <w:t xml:space="preserve">RECAPP by Veolia (since Nov 2020):</w:t>
      </w:r>
      <w:r>
        <w:t xml:space="preserve"> free door-to-door collection; year 1: 10,000 users / 85 t; </w:t>
      </w:r>
      <w:r>
        <w:rPr>
          <w:b/>
          <w:bCs/>
        </w:rPr>
        <w:t xml:space="preserve">1,200 t cumulative by 2023</w:t>
      </w:r>
      <w:r>
        <w:t xml:space="preserve">; ~70,000 users; pilot partners include Agthia, Coca-Cola, Nestlé, PepsiCo, Unilever (Veolia, 2021-23). RECAPP has itself built a </w:t>
      </w:r>
      <w:r>
        <w:rPr>
          <w:i/>
          <w:iCs/>
        </w:rPr>
        <w:t xml:space="preserve">voluntary deposit return scheme with rewards</w:t>
      </w:r>
      <w:r>
        <w:t xml:space="preserve"> for brands - evidence that even operators see deposit logic as the endgame (Plastics News, 2023).</w:t>
      </w:r>
    </w:p>
    <w:p>
      <w:pPr>
        <w:spacing w:after="90" w:line="290"/>
        <w:ind w:left="380" w:hanging="180"/>
      </w:pPr>
      <w:r>
        <w:rPr>
          <w:b/>
          <w:bCs/>
          <w:color w:val="C9A227"/>
        </w:rPr>
        <w:t xml:space="preserve">• </w:t>
      </w:r>
      <w:r>
        <w:rPr>
          <w:b/>
          <w:bCs/>
        </w:rPr>
        <w:t xml:space="preserve">Retailer initiatives:</w:t>
      </w:r>
      <w:r>
        <w:t xml:space="preserve"> Carrefour × Coca-Cola × Sparklo (1.8M bottles/yr target); Lulu × Sparklo (14 RVMs); Choithrams "Bring It Back" with loyalty rewards.</w:t>
      </w:r>
    </w:p>
    <w:p>
      <w:pPr>
        <w:spacing w:after="90" w:line="290"/>
        <w:ind w:left="380" w:hanging="180"/>
      </w:pPr>
      <w:r>
        <w:rPr>
          <w:b/>
          <w:bCs/>
          <w:color w:val="C9A227"/>
        </w:rPr>
        <w:t xml:space="preserve">• </w:t>
      </w:r>
      <w:r>
        <w:rPr>
          <w:b/>
          <w:bCs/>
        </w:rPr>
        <w:t xml:space="preserve">Industry drives:</w:t>
      </w:r>
      <w:r>
        <w:t xml:space="preserve"> EGA's Aluminium Recycling Coalition and Every Can Counts UAE (with Crown and CANPACK, 2024), targeting ≥80% can recycling by 2030; EGA-RECAPP school collections (145,000 cans year 1); EEG Can Collection Drive (13,988 kg in one day, Nov 2024).</w:t>
      </w:r>
    </w:p>
    <w:p>
      <w:pPr>
        <w:spacing w:after="160" w:line="300"/>
        <w:jc w:val="both"/>
      </w:pPr>
      <w:r>
        <w:rPr>
          <w:b/>
          <w:bCs/>
        </w:rPr>
        <w:t xml:space="preserve">Why voluntary networks plateau - the evidence.</w:t>
      </w:r>
      <w:r>
        <w:t xml:space="preserve"> The cleanest natural experiment is </w:t>
      </w:r>
      <w:r>
        <w:rPr>
          <w:b/>
          <w:bCs/>
        </w:rPr>
        <w:t xml:space="preserve">Bee'ah Rewards</w:t>
      </w:r>
      <w:r>
        <w:t xml:space="preserve">: RVMs deployed 2017-18 collected only </w:t>
      </w:r>
      <w:r>
        <w:rPr>
          <w:b/>
          <w:bCs/>
        </w:rPr>
        <w:t xml:space="preserve">~250,000 containers in six months across six locations</w:t>
      </w:r>
      <w:r>
        <w:t xml:space="preserve"> (MDPI, 2023) - roughly 7,000 containers per machine per month, against a national flow of hundreds of millions of units per month. The pattern is consistent across every scheme above:</w:t>
      </w:r>
    </w:p>
    <w:p>
      <w:pPr>
        <w:spacing w:after="90" w:line="290"/>
        <w:ind w:left="380" w:hanging="180"/>
      </w:pPr>
      <w:r>
        <w:rPr>
          <w:b/>
          <w:bCs/>
          <w:color w:val="1B2A4A"/>
        </w:rPr>
        <w:t xml:space="preserve">1. </w:t>
      </w:r>
      <w:r>
        <w:rPr>
          <w:b/>
          <w:bCs/>
        </w:rPr>
        <w:t xml:space="preserve">Reward economics cap participation.</w:t>
      </w:r>
      <w:r>
        <w:t xml:space="preserve"> Points, vouchers and raffle entries are weak incentives relative to UAE disposable incomes; a refundable deposit converts the container itself into stored value - "the deposit is a returnable incentive, not a tax" (Earth Care Consulting, 2025).</w:t>
      </w:r>
    </w:p>
    <w:p>
      <w:pPr>
        <w:spacing w:after="90" w:line="290"/>
        <w:ind w:left="380" w:hanging="180"/>
      </w:pPr>
      <w:r>
        <w:rPr>
          <w:b/>
          <w:bCs/>
          <w:color w:val="1B2A4A"/>
        </w:rPr>
        <w:t xml:space="preserve">2. </w:t>
      </w:r>
      <w:r>
        <w:rPr>
          <w:b/>
          <w:bCs/>
        </w:rPr>
        <w:t xml:space="preserve">Coverage is boutique, not universal.</w:t>
      </w:r>
      <w:r>
        <w:t xml:space="preserve"> ~150-200 machines against a requirement of ~9,000 return points means most consumers are never within convenient reach - and convenience, not intent, drives return behaviour.</w:t>
      </w:r>
    </w:p>
    <w:p>
      <w:pPr>
        <w:spacing w:after="90" w:line="290"/>
        <w:ind w:left="380" w:hanging="180"/>
      </w:pPr>
      <w:r>
        <w:rPr>
          <w:b/>
          <w:bCs/>
          <w:color w:val="1B2A4A"/>
        </w:rPr>
        <w:t xml:space="preserve">3. </w:t>
      </w:r>
      <w:r>
        <w:rPr>
          <w:b/>
          <w:bCs/>
        </w:rPr>
        <w:t xml:space="preserve">No obligation, no funding base.</w:t>
      </w:r>
      <w:r>
        <w:t xml:space="preserve"> Voluntary schemes rely on CSR budgets; they cannot finance national logistics. A mandated, producer-funded system can - producer fees of </w:t>
      </w:r>
      <w:r>
        <w:rPr>
          <w:b/>
          <w:bCs/>
        </w:rPr>
        <w:t xml:space="preserve">AED 0.20 / 0.08 / 0.24 per PET / aluminium / glass container</w:t>
      </w:r>
      <w:r>
        <w:t xml:space="preserve"> (recommended, non-binding) fund the steady state (Chapter 10).</w:t>
      </w:r>
    </w:p>
    <w:p>
      <w:pPr>
        <w:spacing w:after="90" w:line="290"/>
        <w:ind w:left="380" w:hanging="180"/>
      </w:pPr>
      <w:r>
        <w:rPr>
          <w:b/>
          <w:bCs/>
          <w:color w:val="1B2A4A"/>
        </w:rPr>
        <w:t xml:space="preserve">4. </w:t>
      </w:r>
      <w:r>
        <w:rPr>
          <w:b/>
          <w:bCs/>
        </w:rPr>
        <w:t xml:space="preserve">Fragmented brands and apps</w:t>
      </w:r>
      <w:r>
        <w:t xml:space="preserve"> impose registration friction that a single national clearing system eliminates.</w:t>
      </w:r>
    </w:p>
    <w:p>
      <w:pPr>
        <w:spacing w:after="160" w:line="300"/>
        <w:jc w:val="both"/>
      </w:pPr>
      <w:r>
        <w:t xml:space="preserve">The benchmark contrast is decisive: European deposit systems achieve </w:t>
      </w:r>
      <w:r>
        <w:rPr>
          <w:b/>
          <w:bCs/>
        </w:rPr>
        <w:t xml:space="preserve">85-98% collection</w:t>
      </w:r>
      <w:r>
        <w:t xml:space="preserve"> - Lithuania 92.3%, Slovakia 92.4% in its first full year, Germany 98%+ (Earth Care Consulting, 2025) </w:t>
      </w:r>
      <w:r>
        <w:rPr>
          <w:i/>
          <w:iCs/>
        </w:rPr>
        <w:t xml:space="preserve">[benchmark figures; independent verification recommended for final deck]</w:t>
      </w:r>
      <w:r>
        <w:t xml:space="preserve"> - because deposits make returns universal, convenient and financially meaningful. Every UAE voluntary pilot, however well run, operates an order of magnitude below that ceiling.</w:t>
      </w:r>
    </w:p>
    <w:p>
      <w:pPr>
        <w:pBdr>
          <w:left w:val="single" w:color="C9A227" w:sz="18"/>
        </w:pBdr>
        <w:shd w:fill="F5F1E8" w:val="clear"/>
        <w:spacing w:after="100" w:before="60" w:line="280"/>
        <w:ind w:left="260" w:right="260"/>
      </w:pPr>
      <w:r>
        <w:rPr>
          <w:color w:val="1B2A4A"/>
          <w:sz w:val="20"/>
          <w:szCs w:val="20"/>
        </w:rPr>
        <w:t xml:space="preserve">The UAE's voluntary schemes have done their job: they have proven consumer willingness, retailer cooperation and technology viability - at pilot scale. </w:t>
      </w:r>
      <w:r>
        <w:rPr>
          <w:b/>
          <w:bCs/>
          <w:color w:val="1B2A4A"/>
          <w:sz w:val="20"/>
          <w:szCs w:val="20"/>
        </w:rPr>
        <w:t xml:space="preserve">What they cannot do, by construction, is scale. That requires the deposit.</w:t>
      </w:r>
    </w:p>
    <w:p>
      <w:pPr>
        <w:spacing w:after="120"/>
      </w:pPr>
      <w:r>
        <w:rPr>
          <w:sz w:val="8"/>
          <w:szCs w:val="8"/>
        </w:rPr>
        <w:t xml:space="preserve"/>
      </w:r>
    </w:p>
    <w:p>
      <w:pPr>
        <w:pStyle w:val="Heading2"/>
        <w:keepNext/>
        <w:spacing w:after="140" w:before="340"/>
      </w:pPr>
      <w:r>
        <w:rPr>
          <w:rFonts w:ascii="Georgia" w:cs="Georgia" w:eastAsia="Georgia" w:hAnsi="Georgia"/>
          <w:b/>
          <w:bCs/>
          <w:color w:val="1B2A4A"/>
          <w:sz w:val="30"/>
          <w:szCs w:val="30"/>
        </w:rPr>
        <w:t xml:space="preserve">5.7 Waste-Flow Economics</w:t>
      </w:r>
    </w:p>
    <w:p>
      <w:pPr>
        <w:spacing w:after="160" w:line="300"/>
        <w:jc w:val="both"/>
      </w:pPr>
      <w:r>
        <w:t xml:space="preserve">The cost of inaction is measurable at the landfill gate.</w:t>
      </w:r>
    </w:p>
    <w:p>
      <w:pPr>
        <w:spacing w:after="90" w:line="290"/>
        <w:ind w:left="380" w:hanging="180"/>
      </w:pPr>
      <w:r>
        <w:rPr>
          <w:b/>
          <w:bCs/>
          <w:color w:val="C9A227"/>
        </w:rPr>
        <w:t xml:space="preserve">• </w:t>
      </w:r>
      <w:r>
        <w:rPr>
          <w:b/>
          <w:bCs/>
        </w:rPr>
        <w:t xml:space="preserve">Dubai landfill gate fees:</w:t>
      </w:r>
      <w:r>
        <w:t xml:space="preserve"> general/municipal waste </w:t>
      </w:r>
      <w:r>
        <w:rPr>
          <w:b/>
          <w:bCs/>
        </w:rPr>
        <w:t xml:space="preserve">AED 100/t</w:t>
      </w:r>
      <w:r>
        <w:t xml:space="preserve">; hazardous/special AED 550/t; clean C&amp;D AED 20/t - up from ~AED 10/t before 2018 (Executive Council Resolution 58/2017; Dubai Law No. 18 of 2024) </w:t>
      </w:r>
      <w:r>
        <w:rPr>
          <w:b/>
          <w:bCs/>
        </w:rPr>
        <w:t xml:space="preserve">[PUBLISHED - vendor compilation consistent with Dubai Municipality schedule]</w:t>
      </w:r>
      <w:r>
        <w:t xml:space="preserve"> (dubaiwaste.com, 2026).</w:t>
      </w:r>
    </w:p>
    <w:p>
      <w:pPr>
        <w:spacing w:after="90" w:line="290"/>
        <w:ind w:left="380" w:hanging="180"/>
      </w:pPr>
      <w:r>
        <w:rPr>
          <w:b/>
          <w:bCs/>
          <w:color w:val="C9A227"/>
        </w:rPr>
        <w:t xml:space="preserve">• </w:t>
      </w:r>
      <w:r>
        <w:rPr>
          <w:b/>
          <w:bCs/>
        </w:rPr>
        <w:t xml:space="preserve">Inter-emirate arbitrage:</w:t>
      </w:r>
      <w:r>
        <w:t xml:space="preserve"> landfill charges range from </w:t>
      </w:r>
      <w:r>
        <w:rPr>
          <w:b/>
          <w:bCs/>
        </w:rPr>
        <w:t xml:space="preserve">USD 13.61/t (Sharjah) to USD 61.27/t (Abu Dhabi)</w:t>
      </w:r>
      <w:r>
        <w:t xml:space="preserve">, creating cross-hauling incentives that fragment national waste planning </w:t>
      </w:r>
      <w:r>
        <w:rPr>
          <w:b/>
          <w:bCs/>
        </w:rPr>
        <w:t xml:space="preserve">[ESTIMATE - Mordor citing Dubai Municipality, 2026]</w:t>
      </w:r>
      <w:r>
        <w:t xml:space="preserve">. </w:t>
      </w:r>
      <w:r>
        <w:rPr>
          <w:b/>
          <w:bCs/>
        </w:rPr>
        <w:t xml:space="preserve">[DATA GAP: official current per-emirate landfill fee schedules beyond Dubai not retrieved; verify in Phase 1.]</w:t>
      </w:r>
    </w:p>
    <w:p>
      <w:pPr>
        <w:spacing w:after="90" w:line="290"/>
        <w:ind w:left="380" w:hanging="180"/>
      </w:pPr>
      <w:r>
        <w:rPr>
          <w:b/>
          <w:bCs/>
          <w:color w:val="C9A227"/>
        </w:rPr>
        <w:t xml:space="preserve">• </w:t>
      </w:r>
      <w:r>
        <w:rPr>
          <w:b/>
          <w:bCs/>
        </w:rPr>
        <w:t xml:space="preserve">Plastic waste scale:</w:t>
      </w:r>
      <w:r>
        <w:t xml:space="preserve"> ~1.5 million tonnes of plastic waste per year, with a GPCA-derived recycling rate cited at only ~4% </w:t>
      </w:r>
      <w:r>
        <w:rPr>
          <w:b/>
          <w:bCs/>
        </w:rPr>
        <w:t xml:space="preserve">[secondary citation - unverified]</w:t>
      </w:r>
      <w:r>
        <w:t xml:space="preserve"> (GMIR, 2026); the Plastic Overshoot Day 2025 assessment puts UAE plastic waste at </w:t>
      </w:r>
      <w:r>
        <w:rPr>
          <w:b/>
          <w:bCs/>
        </w:rPr>
        <w:t xml:space="preserve">33 kg/capita/yr with a ~79% mismanaged-waste index</w:t>
      </w:r>
      <w:r>
        <w:t xml:space="preserve"> (EA, 2025).</w:t>
      </w:r>
    </w:p>
    <w:p>
      <w:pPr>
        <w:spacing w:after="90" w:line="290"/>
        <w:ind w:left="380" w:hanging="180"/>
      </w:pPr>
      <w:r>
        <w:rPr>
          <w:b/>
          <w:bCs/>
          <w:color w:val="C9A227"/>
        </w:rPr>
        <w:t xml:space="preserve">• </w:t>
      </w:r>
      <w:r>
        <w:rPr>
          <w:b/>
          <w:bCs/>
        </w:rPr>
        <w:t xml:space="preserve">Informal sector:</w:t>
      </w:r>
      <w:r>
        <w:t xml:space="preserve"> no formal studies exist; the IAI notes the UAE relies on formal collection, unlike informal-sector-driven markets </w:t>
      </w:r>
      <w:r>
        <w:rPr>
          <w:b/>
          <w:bCs/>
        </w:rPr>
        <w:t xml:space="preserve">[DATA GAP: informal collection sector size and economics unstudied - a social-integration design question for Phase 2].</w:t>
      </w:r>
    </w:p>
    <w:p>
      <w:pPr>
        <w:spacing w:after="160" w:line="300"/>
        <w:jc w:val="both"/>
      </w:pPr>
      <w:r>
        <w:t xml:space="preserve">Every tonne of beverage containers diverted by a DRS avoids gate fees, extends landfill life, and - at 90% capture of ~3.7 billion units - removes the single most visible litter stream from streets, beaches and the marine environment. Beverage containers rank as the number-one item in litter studies worldwide (Earth Care Consulting, 2025).</w:t>
      </w:r>
    </w:p>
    <w:p>
      <w:pPr>
        <w:spacing w:after="160" w:line="300"/>
        <w:jc w:val="both"/>
      </w:pPr>
      <w:r>
        <w:rPr>
          <w:b/>
          <w:bCs/>
        </w:rPr>
        <w:t xml:space="preserve">A note on deposit money.</w:t>
      </w:r>
      <w:r>
        <w:t xml:space="preserve"> Wherever this study references the recommended </w:t>
      </w:r>
      <w:r>
        <w:rPr>
          <w:b/>
          <w:bCs/>
        </w:rPr>
        <w:t xml:space="preserve">AED 0.25 flat deposit</w:t>
      </w:r>
      <w:r>
        <w:t xml:space="preserve"> (non-binding, a reference for policymakers), one rule holds precisely: </w:t>
      </w:r>
      <w:r>
        <w:rPr>
          <w:b/>
          <w:bCs/>
        </w:rPr>
        <w:t xml:space="preserve">Segen earns zero from unredeemed deposits.</w:t>
      </w:r>
      <w:r>
        <w:t xml:space="preserve"> Deposits are pass-through liabilities held in transparent escrow; unredeemed balances accrue to a supervised system reserve, never to the operator. The full policy and financial treatment is set out in Chapters 6 and 10 (Project Description, 2026).</w:t>
      </w:r>
    </w:p>
    <w:p>
      <w:pPr>
        <w:spacing w:after="40" w:before="200"/>
        <w:jc w:val="center"/>
      </w:pPr>
      <w:r>
        <w:drawing>
          <wp:inline distT="0" distB="0" distL="0" distR="0">
            <wp:extent cx="5524500" cy="3133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524500" cy="3133725"/>
                    </a:xfrm>
                    <a:prstGeom prst="rect">
                      <a:avLst/>
                    </a:prstGeom>
                  </pic:spPr>
                </pic:pic>
              </a:graphicData>
            </a:graphic>
          </wp:inline>
        </w:drawing>
      </w:r>
    </w:p>
    <w:p>
      <w:pPr>
        <w:spacing w:after="240" w:before="40"/>
        <w:jc w:val="center"/>
      </w:pPr>
      <w:r>
        <w:rPr>
          <w:rFonts w:ascii="Calibri" w:cs="Calibri" w:eastAsia="Calibri" w:hAnsi="Calibri"/>
          <w:i/>
          <w:iCs/>
          <w:color w:val="4A6580"/>
          <w:sz w:val="17"/>
          <w:szCs w:val="17"/>
        </w:rPr>
        <w:t xml:space="preserve">The cost of inaction - landfill gate-fee escalation, containers lost to landfill, and the post-DRS counterfactual at 90% return.</w:t>
      </w:r>
    </w:p>
    <w:p>
      <w:pPr>
        <w:pStyle w:val="Heading2"/>
        <w:keepNext/>
        <w:spacing w:after="140" w:before="340"/>
      </w:pPr>
      <w:r>
        <w:rPr>
          <w:rFonts w:ascii="Georgia" w:cs="Georgia" w:eastAsia="Georgia" w:hAnsi="Georgia"/>
          <w:b/>
          <w:bCs/>
          <w:color w:val="1B2A4A"/>
          <w:sz w:val="30"/>
          <w:szCs w:val="30"/>
        </w:rPr>
        <w:t xml:space="preserve">5.8 Implications for DRS Design</w:t>
      </w:r>
    </w:p>
    <w:p>
      <w:pPr>
        <w:spacing w:after="160" w:line="300"/>
        <w:jc w:val="both"/>
      </w:pPr>
      <w:r>
        <w:t xml:space="preserve">Six market facts carry direct design consequences:</w:t>
      </w:r>
    </w:p>
    <w:p>
      <w:pPr>
        <w:spacing w:after="90" w:line="290"/>
        <w:ind w:left="380" w:hanging="180"/>
      </w:pPr>
      <w:r>
        <w:rPr>
          <w:b/>
          <w:bCs/>
          <w:color w:val="1B2A4A"/>
        </w:rPr>
        <w:t xml:space="preserve">1. </w:t>
      </w:r>
      <w:r>
        <w:rPr>
          <w:b/>
          <w:bCs/>
        </w:rPr>
        <w:t xml:space="preserve">Scale is certain, precision is not.</w:t>
      </w:r>
      <w:r>
        <w:t xml:space="preserve"> The 2.8-4.5 billion-unit range (PET modelled; cans published) is sufficient for system sizing, but Phase 1 must secure SKU-level producer/importer reporting before final fee calibration.</w:t>
      </w:r>
    </w:p>
    <w:p>
      <w:pPr>
        <w:spacing w:after="90" w:line="290"/>
        <w:ind w:left="380" w:hanging="180"/>
      </w:pPr>
      <w:r>
        <w:rPr>
          <w:b/>
          <w:bCs/>
          <w:color w:val="1B2A4A"/>
        </w:rPr>
        <w:t xml:space="preserve">2. </w:t>
      </w:r>
      <w:r>
        <w:rPr>
          <w:b/>
          <w:bCs/>
        </w:rPr>
        <w:t xml:space="preserve">Water dominates.</w:t>
      </w:r>
      <w:r>
        <w:t xml:space="preserve"> ~55% of the eligible stream is water bottles - design RVM capacity, logistics and fraud controls around high-frequency, low-value 0.5 L units.</w:t>
      </w:r>
    </w:p>
    <w:p>
      <w:pPr>
        <w:spacing w:after="90" w:line="290"/>
        <w:ind w:left="380" w:hanging="180"/>
      </w:pPr>
      <w:r>
        <w:rPr>
          <w:b/>
          <w:bCs/>
          <w:color w:val="1B2A4A"/>
        </w:rPr>
        <w:t xml:space="preserve">3. </w:t>
      </w:r>
      <w:r>
        <w:rPr>
          <w:b/>
          <w:bCs/>
        </w:rPr>
        <w:t xml:space="preserve">The retail anchor exists.</w:t>
      </w:r>
      <w:r>
        <w:t xml:space="preserve"> Five modern-trade groups (~165-175 stores) plus fuel retail can carry the mandatory-return core; all five have live RVM or take-back experience and EPR Pledge or equivalent commitments.</w:t>
      </w:r>
    </w:p>
    <w:p>
      <w:pPr>
        <w:spacing w:after="90" w:line="290"/>
        <w:ind w:left="380" w:hanging="180"/>
      </w:pPr>
      <w:r>
        <w:rPr>
          <w:b/>
          <w:bCs/>
          <w:color w:val="1B2A4A"/>
        </w:rPr>
        <w:t xml:space="preserve">4. </w:t>
      </w:r>
      <w:r>
        <w:rPr>
          <w:b/>
          <w:bCs/>
        </w:rPr>
        <w:t xml:space="preserve">Processing capacity must grow with capture.</w:t>
      </w:r>
      <w:r>
        <w:t xml:space="preserve"> DRS feedstock at 90% return will exceed current food-grade rPET capacity within years of launch; offtake agreements (Repeet expansion, EGA Al Taweelah) are a launch prerequisite, not an afterthought.</w:t>
      </w:r>
    </w:p>
    <w:p>
      <w:pPr>
        <w:spacing w:after="90" w:line="290"/>
        <w:ind w:left="380" w:hanging="180"/>
      </w:pPr>
      <w:r>
        <w:rPr>
          <w:b/>
          <w:bCs/>
          <w:color w:val="1B2A4A"/>
        </w:rPr>
        <w:t xml:space="preserve">5. </w:t>
      </w:r>
      <w:r>
        <w:rPr>
          <w:b/>
          <w:bCs/>
        </w:rPr>
        <w:t xml:space="preserve">Voluntary infrastructure is an asset, not a competitor.</w:t>
      </w:r>
      <w:r>
        <w:t xml:space="preserve"> EAD/Sparklo, Tadweer and RECAPP networks (~150-200 machines, proven consumer base) should be absorbed into the national system as accredited return points from day one.</w:t>
      </w:r>
    </w:p>
    <w:p>
      <w:pPr>
        <w:spacing w:after="90" w:line="290"/>
        <w:ind w:left="380" w:hanging="180"/>
      </w:pPr>
      <w:r>
        <w:rPr>
          <w:b/>
          <w:bCs/>
          <w:color w:val="1B2A4A"/>
        </w:rPr>
        <w:t xml:space="preserve">6. </w:t>
      </w:r>
      <w:r>
        <w:rPr>
          <w:b/>
          <w:bCs/>
        </w:rPr>
        <w:t xml:space="preserve">Glass requires an export-oriented logistics design</w:t>
      </w:r>
      <w:r>
        <w:t xml:space="preserve"> until domestic furnace demand exists - include glass in scope (per the Tadweer-TOMRA MoU precedent) but plan aggregation economics accordingly.</w:t>
      </w:r>
    </w:p>
    <w:p>
      <w:pPr>
        <w:spacing w:after="160" w:line="300"/>
        <w:jc w:val="both"/>
      </w:pPr>
      <w:r>
        <w:t xml:space="preserve">The market, in short, is large, concentrated, policy-aligned and infrastructurally primed. What it lacks - and what only a mandated, producer-funded DRS supplies - is the universal collection front end that turns world-leading consumption into world-class circularity.</w:t>
      </w:r>
    </w:p>
    <w:p>
      <w:pPr>
        <w:pStyle w:val="Heading2"/>
        <w:keepNext/>
        <w:spacing w:after="140" w:before="340"/>
      </w:pPr>
      <w:r>
        <w:rPr>
          <w:rFonts w:ascii="Georgia" w:cs="Georgia" w:eastAsia="Georgia" w:hAnsi="Georgia"/>
          <w:b/>
          <w:bCs/>
          <w:color w:val="1B2A4A"/>
          <w:sz w:val="30"/>
          <w:szCs w:val="30"/>
        </w:rPr>
        <w:t xml:space="preserve">Annex 5.A - Data Provenance Register</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2184"/>
        <w:gridCol w:w="2184"/>
        <w:gridCol w:w="2184"/>
        <w:gridCol w:w="2186"/>
      </w:tblGrid>
      <w:tr>
        <w:trPr>
          <w:tblHeader/>
        </w:trPr>
        <w:tc>
          <w:tcPr>
            <w:tcW w:type="dxa" w:w="218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Category</w:t>
            </w:r>
          </w:p>
        </w:tc>
        <w:tc>
          <w:tcPr>
            <w:tcW w:type="dxa" w:w="218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Published (usable as-is)</w:t>
            </w:r>
          </w:p>
        </w:tc>
        <w:tc>
          <w:tcPr>
            <w:tcW w:type="dxa" w:w="218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Estimated / modelled (flag in deck)</w:t>
            </w:r>
          </w:p>
        </w:tc>
        <w:tc>
          <w:tcPr>
            <w:tcW w:type="dxa" w:w="2186"/>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Data gaps (Phase-1 action)</w:t>
            </w:r>
          </w:p>
        </w:tc>
      </w:tr>
      <w:tr>
        <w:tc>
          <w:tcPr>
            <w:tcW w:type="dxa" w:w="2184"/>
            <w:shd w:fill="FFFFFF" w:val="clear"/>
            <w:tcMar>
              <w:top w:type="dxa" w:w="80"/>
              <w:left w:type="dxa" w:w="100"/>
              <w:bottom w:type="dxa" w:w="80"/>
              <w:right w:type="dxa" w:w="100"/>
            </w:tcMar>
          </w:tcPr>
          <w:p>
            <w:pPr>
              <w:spacing w:after="0" w:line="240"/>
            </w:pPr>
            <w:r>
              <w:rPr>
                <w:sz w:val="17"/>
                <w:szCs w:val="17"/>
              </w:rPr>
              <w:t xml:space="preserve">Population</w:t>
            </w:r>
          </w:p>
        </w:tc>
        <w:tc>
          <w:tcPr>
            <w:tcW w:type="dxa" w:w="2184"/>
            <w:shd w:fill="FFFFFF" w:val="clear"/>
            <w:tcMar>
              <w:top w:type="dxa" w:w="80"/>
              <w:left w:type="dxa" w:w="100"/>
              <w:bottom w:type="dxa" w:w="80"/>
              <w:right w:type="dxa" w:w="100"/>
            </w:tcMar>
          </w:tcPr>
          <w:p>
            <w:pPr>
              <w:spacing w:after="0" w:line="240"/>
            </w:pPr>
            <w:r>
              <w:rPr>
                <w:sz w:val="17"/>
                <w:szCs w:val="17"/>
              </w:rPr>
              <w:t xml:space="preserve">11,294,243 (2024, FCSC)</w:t>
            </w:r>
          </w:p>
        </w:tc>
        <w:tc>
          <w:tcPr>
            <w:tcW w:type="dxa" w:w="2184"/>
            <w:shd w:fill="FFFFFF" w:val="clear"/>
            <w:tcMar>
              <w:top w:type="dxa" w:w="80"/>
              <w:left w:type="dxa" w:w="100"/>
              <w:bottom w:type="dxa" w:w="80"/>
              <w:right w:type="dxa" w:w="100"/>
            </w:tcMar>
          </w:tcPr>
          <w:p>
            <w:pPr>
              <w:spacing w:after="0" w:line="240"/>
            </w:pPr>
            <w:r>
              <w:rPr>
                <w:sz w:val="17"/>
                <w:szCs w:val="17"/>
              </w:rPr>
              <w:t xml:space="preserve">Tourism 19.6M</w:t>
            </w:r>
          </w:p>
        </w:tc>
        <w:tc>
          <w:tcPr>
            <w:tcW w:type="dxa" w:w="2186"/>
            <w:shd w:fill="FFFFFF" w:val="clear"/>
            <w:tcMar>
              <w:top w:type="dxa" w:w="80"/>
              <w:left w:type="dxa" w:w="100"/>
              <w:bottom w:type="dxa" w:w="80"/>
              <w:right w:type="dxa" w:w="100"/>
            </w:tcMar>
          </w:tcPr>
          <w:p>
            <w:pPr>
              <w:spacing w:after="0" w:line="240"/>
            </w:pPr>
            <w:r>
              <w:rPr>
                <w:sz w:val="17"/>
                <w:szCs w:val="17"/>
              </w:rPr>
              <w:t xml:space="preserve">-</w:t>
            </w:r>
          </w:p>
        </w:tc>
      </w:tr>
      <w:tr>
        <w:tc>
          <w:tcPr>
            <w:tcW w:type="dxa" w:w="2184"/>
            <w:shd w:fill="F5F1E8" w:val="clear"/>
            <w:tcMar>
              <w:top w:type="dxa" w:w="80"/>
              <w:left w:type="dxa" w:w="100"/>
              <w:bottom w:type="dxa" w:w="80"/>
              <w:right w:type="dxa" w:w="100"/>
            </w:tcMar>
          </w:tcPr>
          <w:p>
            <w:pPr>
              <w:spacing w:after="0" w:line="240"/>
            </w:pPr>
            <w:r>
              <w:rPr>
                <w:sz w:val="17"/>
                <w:szCs w:val="17"/>
              </w:rPr>
              <w:t xml:space="preserve">Per-capita consumption</w:t>
            </w:r>
          </w:p>
        </w:tc>
        <w:tc>
          <w:tcPr>
            <w:tcW w:type="dxa" w:w="2184"/>
            <w:shd w:fill="F5F1E8" w:val="clear"/>
            <w:tcMar>
              <w:top w:type="dxa" w:w="80"/>
              <w:left w:type="dxa" w:w="100"/>
              <w:bottom w:type="dxa" w:w="80"/>
              <w:right w:type="dxa" w:w="100"/>
            </w:tcMar>
          </w:tcPr>
          <w:p>
            <w:pPr>
              <w:spacing w:after="0" w:line="240"/>
            </w:pPr>
            <w:r>
              <w:rPr>
                <w:sz w:val="17"/>
                <w:szCs w:val="17"/>
              </w:rPr>
              <w:t xml:space="preserve">265 L/yr (WAM, undated); ~450 bottles/yr (academic)</w:t>
            </w:r>
          </w:p>
        </w:tc>
        <w:tc>
          <w:tcPr>
            <w:tcW w:type="dxa" w:w="2184"/>
            <w:shd w:fill="F5F1E8" w:val="clear"/>
            <w:tcMar>
              <w:top w:type="dxa" w:w="80"/>
              <w:left w:type="dxa" w:w="100"/>
              <w:bottom w:type="dxa" w:w="80"/>
              <w:right w:type="dxa" w:w="100"/>
            </w:tcMar>
          </w:tcPr>
          <w:p>
            <w:pPr>
              <w:spacing w:after="0" w:line="240"/>
            </w:pPr>
            <w:r>
              <w:rPr>
                <w:sz w:val="17"/>
                <w:szCs w:val="17"/>
              </w:rPr>
              <w:t xml:space="preserve">250-300 L/yr range</w:t>
            </w:r>
          </w:p>
        </w:tc>
        <w:tc>
          <w:tcPr>
            <w:tcW w:type="dxa" w:w="2186"/>
            <w:shd w:fill="F5F1E8" w:val="clear"/>
            <w:tcMar>
              <w:top w:type="dxa" w:w="80"/>
              <w:left w:type="dxa" w:w="100"/>
              <w:bottom w:type="dxa" w:w="80"/>
              <w:right w:type="dxa" w:w="100"/>
            </w:tcMar>
          </w:tcPr>
          <w:p>
            <w:pPr>
              <w:spacing w:after="0" w:line="240"/>
            </w:pPr>
            <w:r>
              <w:rPr>
                <w:sz w:val="17"/>
                <w:szCs w:val="17"/>
              </w:rPr>
              <w:t xml:space="preserve">WAM figure undated - re-verify</w:t>
            </w:r>
          </w:p>
        </w:tc>
      </w:tr>
      <w:tr>
        <w:tc>
          <w:tcPr>
            <w:tcW w:type="dxa" w:w="2184"/>
            <w:shd w:fill="FFFFFF" w:val="clear"/>
            <w:tcMar>
              <w:top w:type="dxa" w:w="80"/>
              <w:left w:type="dxa" w:w="100"/>
              <w:bottom w:type="dxa" w:w="80"/>
              <w:right w:type="dxa" w:w="100"/>
            </w:tcMar>
          </w:tcPr>
          <w:p>
            <w:pPr>
              <w:spacing w:after="0" w:line="240"/>
            </w:pPr>
            <w:r>
              <w:rPr>
                <w:sz w:val="17"/>
                <w:szCs w:val="17"/>
              </w:rPr>
              <w:t xml:space="preserve">PET volumes</w:t>
            </w:r>
          </w:p>
        </w:tc>
        <w:tc>
          <w:tcPr>
            <w:tcW w:type="dxa" w:w="2184"/>
            <w:shd w:fill="FFFFFF" w:val="clear"/>
            <w:tcMar>
              <w:top w:type="dxa" w:w="80"/>
              <w:left w:type="dxa" w:w="100"/>
              <w:bottom w:type="dxa" w:w="80"/>
              <w:right w:type="dxa" w:w="100"/>
            </w:tcMar>
          </w:tcPr>
          <w:p>
            <w:pPr>
              <w:spacing w:after="0" w:line="240"/>
            </w:pPr>
            <w:r>
              <w:rPr>
                <w:sz w:val="17"/>
                <w:szCs w:val="17"/>
              </w:rPr>
              <w:t xml:space="preserve">-</w:t>
            </w:r>
          </w:p>
        </w:tc>
        <w:tc>
          <w:tcPr>
            <w:tcW w:type="dxa" w:w="2184"/>
            <w:shd w:fill="FFFFFF" w:val="clear"/>
            <w:tcMar>
              <w:top w:type="dxa" w:w="80"/>
              <w:left w:type="dxa" w:w="100"/>
              <w:bottom w:type="dxa" w:w="80"/>
              <w:right w:type="dxa" w:w="100"/>
            </w:tcMar>
          </w:tcPr>
          <w:p>
            <w:pPr>
              <w:spacing w:after="0" w:line="240"/>
            </w:pPr>
            <w:r>
              <w:rPr>
                <w:sz w:val="17"/>
                <w:szCs w:val="17"/>
              </w:rPr>
              <w:t xml:space="preserve">2.1-3.8 bn units (survey); ~5 bn water bottles (MDPI 2023)</w:t>
            </w:r>
          </w:p>
        </w:tc>
        <w:tc>
          <w:tcPr>
            <w:tcW w:type="dxa" w:w="2186"/>
            <w:shd w:fill="FFFFFF" w:val="clear"/>
            <w:tcMar>
              <w:top w:type="dxa" w:w="80"/>
              <w:left w:type="dxa" w:w="100"/>
              <w:bottom w:type="dxa" w:w="80"/>
              <w:right w:type="dxa" w:w="100"/>
            </w:tcMar>
          </w:tcPr>
          <w:p>
            <w:pPr>
              <w:spacing w:after="0" w:line="240"/>
            </w:pPr>
            <w:r>
              <w:rPr>
                <w:b/>
                <w:bCs/>
                <w:sz w:val="17"/>
                <w:szCs w:val="17"/>
              </w:rPr>
              <w:t xml:space="preserve">No official POM count - producer/importer reporting needed</w:t>
            </w:r>
          </w:p>
        </w:tc>
      </w:tr>
      <w:tr>
        <w:tc>
          <w:tcPr>
            <w:tcW w:type="dxa" w:w="2184"/>
            <w:shd w:fill="F5F1E8" w:val="clear"/>
            <w:tcMar>
              <w:top w:type="dxa" w:w="80"/>
              <w:left w:type="dxa" w:w="100"/>
              <w:bottom w:type="dxa" w:w="80"/>
              <w:right w:type="dxa" w:w="100"/>
            </w:tcMar>
          </w:tcPr>
          <w:p>
            <w:pPr>
              <w:spacing w:after="0" w:line="240"/>
            </w:pPr>
            <w:r>
              <w:rPr>
                <w:sz w:val="17"/>
                <w:szCs w:val="17"/>
              </w:rPr>
              <w:t xml:space="preserve">Cans</w:t>
            </w:r>
          </w:p>
        </w:tc>
        <w:tc>
          <w:tcPr>
            <w:tcW w:type="dxa" w:w="2184"/>
            <w:shd w:fill="F5F1E8" w:val="clear"/>
            <w:tcMar>
              <w:top w:type="dxa" w:w="80"/>
              <w:left w:type="dxa" w:w="100"/>
              <w:bottom w:type="dxa" w:w="80"/>
              <w:right w:type="dxa" w:w="100"/>
            </w:tcMar>
          </w:tcPr>
          <w:p>
            <w:pPr>
              <w:spacing w:after="0" w:line="240"/>
            </w:pPr>
            <w:r>
              <w:rPr>
                <w:sz w:val="17"/>
                <w:szCs w:val="17"/>
              </w:rPr>
              <w:t xml:space="preserve">660M/yr, ~1/3 recycled (EGA; IAI)</w:t>
            </w:r>
          </w:p>
        </w:tc>
        <w:tc>
          <w:tcPr>
            <w:tcW w:type="dxa" w:w="2184"/>
            <w:shd w:fill="F5F1E8" w:val="clear"/>
            <w:tcMar>
              <w:top w:type="dxa" w:w="80"/>
              <w:left w:type="dxa" w:w="100"/>
              <w:bottom w:type="dxa" w:w="80"/>
              <w:right w:type="dxa" w:w="100"/>
            </w:tcMar>
          </w:tcPr>
          <w:p>
            <w:pPr>
              <w:spacing w:after="0" w:line="240"/>
            </w:pPr>
            <w:r>
              <w:rPr>
                <w:sz w:val="17"/>
                <w:szCs w:val="17"/>
              </w:rPr>
              <w:t xml:space="preserve">8,910 t tonnage (weight assumption)</w:t>
            </w:r>
          </w:p>
        </w:tc>
        <w:tc>
          <w:tcPr>
            <w:tcW w:type="dxa" w:w="2186"/>
            <w:shd w:fill="F5F1E8" w:val="clear"/>
            <w:tcMar>
              <w:top w:type="dxa" w:w="80"/>
              <w:left w:type="dxa" w:w="100"/>
              <w:bottom w:type="dxa" w:w="80"/>
              <w:right w:type="dxa" w:w="100"/>
            </w:tcMar>
          </w:tcPr>
          <w:p>
            <w:pPr>
              <w:spacing w:after="0" w:line="240"/>
            </w:pPr>
            <w:r>
              <w:rPr>
                <w:sz w:val="17"/>
                <w:szCs w:val="17"/>
              </w:rPr>
              <w:t xml:space="preserve">-</w:t>
            </w:r>
          </w:p>
        </w:tc>
      </w:tr>
      <w:tr>
        <w:tc>
          <w:tcPr>
            <w:tcW w:type="dxa" w:w="2184"/>
            <w:shd w:fill="FFFFFF" w:val="clear"/>
            <w:tcMar>
              <w:top w:type="dxa" w:w="80"/>
              <w:left w:type="dxa" w:w="100"/>
              <w:bottom w:type="dxa" w:w="80"/>
              <w:right w:type="dxa" w:w="100"/>
            </w:tcMar>
          </w:tcPr>
          <w:p>
            <w:pPr>
              <w:spacing w:after="0" w:line="240"/>
            </w:pPr>
            <w:r>
              <w:rPr>
                <w:sz w:val="17"/>
                <w:szCs w:val="17"/>
              </w:rPr>
              <w:t xml:space="preserve">Glass</w:t>
            </w:r>
          </w:p>
        </w:tc>
        <w:tc>
          <w:tcPr>
            <w:tcW w:type="dxa" w:w="2184"/>
            <w:shd w:fill="FFFFFF" w:val="clear"/>
            <w:tcMar>
              <w:top w:type="dxa" w:w="80"/>
              <w:left w:type="dxa" w:w="100"/>
              <w:bottom w:type="dxa" w:w="80"/>
              <w:right w:type="dxa" w:w="100"/>
            </w:tcMar>
          </w:tcPr>
          <w:p>
            <w:pPr>
              <w:spacing w:after="0" w:line="240"/>
            </w:pPr>
            <w:r>
              <w:rPr>
                <w:sz w:val="17"/>
                <w:szCs w:val="17"/>
              </w:rPr>
              <w:t xml:space="preserve">-</w:t>
            </w:r>
          </w:p>
        </w:tc>
        <w:tc>
          <w:tcPr>
            <w:tcW w:type="dxa" w:w="2184"/>
            <w:shd w:fill="FFFFFF" w:val="clear"/>
            <w:tcMar>
              <w:top w:type="dxa" w:w="80"/>
              <w:left w:type="dxa" w:w="100"/>
              <w:bottom w:type="dxa" w:w="80"/>
              <w:right w:type="dxa" w:w="100"/>
            </w:tcMar>
          </w:tcPr>
          <w:p>
            <w:pPr>
              <w:spacing w:after="0" w:line="240"/>
            </w:pPr>
            <w:r>
              <w:rPr>
                <w:sz w:val="17"/>
                <w:szCs w:val="17"/>
              </w:rPr>
              <w:t xml:space="preserve">~0.18 bn units (analyst, ~5% of PET+cans)</w:t>
            </w:r>
          </w:p>
        </w:tc>
        <w:tc>
          <w:tcPr>
            <w:tcW w:type="dxa" w:w="2186"/>
            <w:shd w:fill="FFFFFF" w:val="clear"/>
            <w:tcMar>
              <w:top w:type="dxa" w:w="80"/>
              <w:left w:type="dxa" w:w="100"/>
              <w:bottom w:type="dxa" w:w="80"/>
              <w:right w:type="dxa" w:w="100"/>
            </w:tcMar>
          </w:tcPr>
          <w:p>
            <w:pPr>
              <w:spacing w:after="0" w:line="240"/>
            </w:pPr>
            <w:r>
              <w:rPr>
                <w:b/>
                <w:bCs/>
                <w:sz w:val="17"/>
                <w:szCs w:val="17"/>
              </w:rPr>
              <w:t xml:space="preserve">No national glass figure - hospitality/importer study needed</w:t>
            </w:r>
          </w:p>
        </w:tc>
      </w:tr>
      <w:tr>
        <w:tc>
          <w:tcPr>
            <w:tcW w:type="dxa" w:w="2184"/>
            <w:shd w:fill="F5F1E8" w:val="clear"/>
            <w:tcMar>
              <w:top w:type="dxa" w:w="80"/>
              <w:left w:type="dxa" w:w="100"/>
              <w:bottom w:type="dxa" w:w="80"/>
              <w:right w:type="dxa" w:w="100"/>
            </w:tcMar>
          </w:tcPr>
          <w:p>
            <w:pPr>
              <w:spacing w:after="0" w:line="240"/>
            </w:pPr>
            <w:r>
              <w:rPr>
                <w:sz w:val="17"/>
                <w:szCs w:val="17"/>
              </w:rPr>
              <w:t xml:space="preserve">Retail</w:t>
            </w:r>
          </w:p>
        </w:tc>
        <w:tc>
          <w:tcPr>
            <w:tcW w:type="dxa" w:w="2184"/>
            <w:shd w:fill="F5F1E8" w:val="clear"/>
            <w:tcMar>
              <w:top w:type="dxa" w:w="80"/>
              <w:left w:type="dxa" w:w="100"/>
              <w:bottom w:type="dxa" w:w="80"/>
              <w:right w:type="dxa" w:w="100"/>
            </w:tcMar>
          </w:tcPr>
          <w:p>
            <w:pPr>
              <w:spacing w:after="0" w:line="240"/>
            </w:pPr>
            <w:r>
              <w:rPr>
                <w:sz w:val="17"/>
                <w:szCs w:val="17"/>
              </w:rPr>
              <w:t xml:space="preserve">Carrefour ~38, Lulu ~42, Spinneys ~30, Union Coop 24-27, Choithrams ~30</w:t>
            </w:r>
          </w:p>
        </w:tc>
        <w:tc>
          <w:tcPr>
            <w:tcW w:type="dxa" w:w="2184"/>
            <w:shd w:fill="F5F1E8" w:val="clear"/>
            <w:tcMar>
              <w:top w:type="dxa" w:w="80"/>
              <w:left w:type="dxa" w:w="100"/>
              <w:bottom w:type="dxa" w:w="80"/>
              <w:right w:type="dxa" w:w="100"/>
            </w:tcMar>
          </w:tcPr>
          <w:p>
            <w:pPr>
              <w:spacing w:after="0" w:line="240"/>
            </w:pPr>
            <w:r>
              <w:rPr>
                <w:sz w:val="17"/>
                <w:szCs w:val="17"/>
              </w:rPr>
              <w:t xml:space="preserve">Channel shares (IMARC/Mordor)</w:t>
            </w:r>
          </w:p>
        </w:tc>
        <w:tc>
          <w:tcPr>
            <w:tcW w:type="dxa" w:w="2186"/>
            <w:shd w:fill="F5F1E8" w:val="clear"/>
            <w:tcMar>
              <w:top w:type="dxa" w:w="80"/>
              <w:left w:type="dxa" w:w="100"/>
              <w:bottom w:type="dxa" w:w="80"/>
              <w:right w:type="dxa" w:w="100"/>
            </w:tcMar>
          </w:tcPr>
          <w:p>
            <w:pPr>
              <w:spacing w:after="0" w:line="240"/>
            </w:pPr>
            <w:r>
              <w:rPr>
                <w:b/>
                <w:bCs/>
                <w:sz w:val="17"/>
                <w:szCs w:val="17"/>
              </w:rPr>
              <w:t xml:space="preserve">ADNOC/ENOC station counts</w:t>
            </w:r>
          </w:p>
        </w:tc>
      </w:tr>
      <w:tr>
        <w:tc>
          <w:tcPr>
            <w:tcW w:type="dxa" w:w="2184"/>
            <w:shd w:fill="FFFFFF" w:val="clear"/>
            <w:tcMar>
              <w:top w:type="dxa" w:w="80"/>
              <w:left w:type="dxa" w:w="100"/>
              <w:bottom w:type="dxa" w:w="80"/>
              <w:right w:type="dxa" w:w="100"/>
            </w:tcMar>
          </w:tcPr>
          <w:p>
            <w:pPr>
              <w:spacing w:after="0" w:line="240"/>
            </w:pPr>
            <w:r>
              <w:rPr>
                <w:sz w:val="17"/>
                <w:szCs w:val="17"/>
              </w:rPr>
              <w:t xml:space="preserve">Infrastructure</w:t>
            </w:r>
          </w:p>
        </w:tc>
        <w:tc>
          <w:tcPr>
            <w:tcW w:type="dxa" w:w="2184"/>
            <w:shd w:fill="FFFFFF" w:val="clear"/>
            <w:tcMar>
              <w:top w:type="dxa" w:w="80"/>
              <w:left w:type="dxa" w:w="100"/>
              <w:bottom w:type="dxa" w:w="80"/>
              <w:right w:type="dxa" w:w="100"/>
            </w:tcMar>
          </w:tcPr>
          <w:p>
            <w:pPr>
              <w:spacing w:after="0" w:line="240"/>
            </w:pPr>
            <w:r>
              <w:rPr>
                <w:sz w:val="17"/>
                <w:szCs w:val="17"/>
              </w:rPr>
              <w:t xml:space="preserve">Farz, BEEAH, Tadweer/Urbaser, DGrade, Al Taweelah capacities</w:t>
            </w:r>
          </w:p>
        </w:tc>
        <w:tc>
          <w:tcPr>
            <w:tcW w:type="dxa" w:w="2184"/>
            <w:shd w:fill="FFFFFF" w:val="clear"/>
            <w:tcMar>
              <w:top w:type="dxa" w:w="80"/>
              <w:left w:type="dxa" w:w="100"/>
              <w:bottom w:type="dxa" w:w="80"/>
              <w:right w:type="dxa" w:w="100"/>
            </w:tcMar>
          </w:tcPr>
          <w:p>
            <w:pPr>
              <w:spacing w:after="0" w:line="240"/>
            </w:pPr>
            <w:r>
              <w:rPr>
                <w:sz w:val="17"/>
                <w:szCs w:val="17"/>
              </w:rPr>
              <w:t xml:space="preserve">-</w:t>
            </w:r>
          </w:p>
        </w:tc>
        <w:tc>
          <w:tcPr>
            <w:tcW w:type="dxa" w:w="2186"/>
            <w:shd w:fill="FFFFFF" w:val="clear"/>
            <w:tcMar>
              <w:top w:type="dxa" w:w="80"/>
              <w:left w:type="dxa" w:w="100"/>
              <w:bottom w:type="dxa" w:w="80"/>
              <w:right w:type="dxa" w:w="100"/>
            </w:tcMar>
          </w:tcPr>
          <w:p>
            <w:pPr>
              <w:spacing w:after="0" w:line="240"/>
            </w:pPr>
            <w:r>
              <w:rPr>
                <w:b/>
                <w:bCs/>
                <w:sz w:val="17"/>
                <w:szCs w:val="17"/>
              </w:rPr>
              <w:t xml:space="preserve">Repeet rPET commissioning status</w:t>
            </w:r>
          </w:p>
        </w:tc>
      </w:tr>
      <w:tr>
        <w:tc>
          <w:tcPr>
            <w:tcW w:type="dxa" w:w="2184"/>
            <w:shd w:fill="F5F1E8" w:val="clear"/>
            <w:tcMar>
              <w:top w:type="dxa" w:w="80"/>
              <w:left w:type="dxa" w:w="100"/>
              <w:bottom w:type="dxa" w:w="80"/>
              <w:right w:type="dxa" w:w="100"/>
            </w:tcMar>
          </w:tcPr>
          <w:p>
            <w:pPr>
              <w:spacing w:after="0" w:line="240"/>
            </w:pPr>
            <w:r>
              <w:rPr>
                <w:sz w:val="17"/>
                <w:szCs w:val="17"/>
              </w:rPr>
              <w:t xml:space="preserve">Voluntary collection</w:t>
            </w:r>
          </w:p>
        </w:tc>
        <w:tc>
          <w:tcPr>
            <w:tcW w:type="dxa" w:w="2184"/>
            <w:shd w:fill="F5F1E8" w:val="clear"/>
            <w:tcMar>
              <w:top w:type="dxa" w:w="80"/>
              <w:left w:type="dxa" w:w="100"/>
              <w:bottom w:type="dxa" w:w="80"/>
              <w:right w:type="dxa" w:w="100"/>
            </w:tcMar>
          </w:tcPr>
          <w:p>
            <w:pPr>
              <w:spacing w:after="0" w:line="240"/>
            </w:pPr>
            <w:r>
              <w:rPr>
                <w:sz w:val="17"/>
                <w:szCs w:val="17"/>
              </w:rPr>
              <w:t xml:space="preserve">EAD 2,000 t / 23M units 2024 / 100+ RVMs; Bee'ah Rewards 250k/6mo</w:t>
            </w:r>
          </w:p>
        </w:tc>
        <w:tc>
          <w:tcPr>
            <w:tcW w:type="dxa" w:w="2184"/>
            <w:shd w:fill="F5F1E8" w:val="clear"/>
            <w:tcMar>
              <w:top w:type="dxa" w:w="80"/>
              <w:left w:type="dxa" w:w="100"/>
              <w:bottom w:type="dxa" w:w="80"/>
              <w:right w:type="dxa" w:w="100"/>
            </w:tcMar>
          </w:tcPr>
          <w:p>
            <w:pPr>
              <w:spacing w:after="0" w:line="240"/>
            </w:pPr>
            <w:r>
              <w:rPr>
                <w:sz w:val="17"/>
                <w:szCs w:val="17"/>
              </w:rPr>
              <w:t xml:space="preserve">-</w:t>
            </w:r>
          </w:p>
        </w:tc>
        <w:tc>
          <w:tcPr>
            <w:tcW w:type="dxa" w:w="2186"/>
            <w:shd w:fill="F5F1E8" w:val="clear"/>
            <w:tcMar>
              <w:top w:type="dxa" w:w="80"/>
              <w:left w:type="dxa" w:w="100"/>
              <w:bottom w:type="dxa" w:w="80"/>
              <w:right w:type="dxa" w:w="100"/>
            </w:tcMar>
          </w:tcPr>
          <w:p>
            <w:pPr>
              <w:spacing w:after="0" w:line="240"/>
            </w:pPr>
            <w:r>
              <w:rPr>
                <w:b/>
                <w:bCs/>
                <w:sz w:val="17"/>
                <w:szCs w:val="17"/>
              </w:rPr>
              <w:t xml:space="preserve">Sparklo national totals; EAD cumulative series beyond 2024</w:t>
            </w:r>
          </w:p>
        </w:tc>
      </w:tr>
      <w:tr>
        <w:tc>
          <w:tcPr>
            <w:tcW w:type="dxa" w:w="2184"/>
            <w:shd w:fill="FFFFFF" w:val="clear"/>
            <w:tcMar>
              <w:top w:type="dxa" w:w="80"/>
              <w:left w:type="dxa" w:w="100"/>
              <w:bottom w:type="dxa" w:w="80"/>
              <w:right w:type="dxa" w:w="100"/>
            </w:tcMar>
          </w:tcPr>
          <w:p>
            <w:pPr>
              <w:spacing w:after="0" w:line="240"/>
            </w:pPr>
            <w:r>
              <w:rPr>
                <w:sz w:val="17"/>
                <w:szCs w:val="17"/>
              </w:rPr>
              <w:t xml:space="preserve">Waste economics</w:t>
            </w:r>
          </w:p>
        </w:tc>
        <w:tc>
          <w:tcPr>
            <w:tcW w:type="dxa" w:w="2184"/>
            <w:shd w:fill="FFFFFF" w:val="clear"/>
            <w:tcMar>
              <w:top w:type="dxa" w:w="80"/>
              <w:left w:type="dxa" w:w="100"/>
              <w:bottom w:type="dxa" w:w="80"/>
              <w:right w:type="dxa" w:w="100"/>
            </w:tcMar>
          </w:tcPr>
          <w:p>
            <w:pPr>
              <w:spacing w:after="0" w:line="240"/>
            </w:pPr>
            <w:r>
              <w:rPr>
                <w:sz w:val="17"/>
                <w:szCs w:val="17"/>
              </w:rPr>
              <w:t xml:space="preserve">Dubai AED 100/t gate fee</w:t>
            </w:r>
          </w:p>
        </w:tc>
        <w:tc>
          <w:tcPr>
            <w:tcW w:type="dxa" w:w="2184"/>
            <w:shd w:fill="FFFFFF" w:val="clear"/>
            <w:tcMar>
              <w:top w:type="dxa" w:w="80"/>
              <w:left w:type="dxa" w:w="100"/>
              <w:bottom w:type="dxa" w:w="80"/>
              <w:right w:type="dxa" w:w="100"/>
            </w:tcMar>
          </w:tcPr>
          <w:p>
            <w:pPr>
              <w:spacing w:after="0" w:line="240"/>
            </w:pPr>
            <w:r>
              <w:rPr>
                <w:sz w:val="17"/>
                <w:szCs w:val="17"/>
              </w:rPr>
              <w:t xml:space="preserve">Sharjah-Abu Dhabi fee spread (Mordor); 4% plastic recycling (secondary)</w:t>
            </w:r>
          </w:p>
        </w:tc>
        <w:tc>
          <w:tcPr>
            <w:tcW w:type="dxa" w:w="2186"/>
            <w:shd w:fill="FFFFFF" w:val="clear"/>
            <w:tcMar>
              <w:top w:type="dxa" w:w="80"/>
              <w:left w:type="dxa" w:w="100"/>
              <w:bottom w:type="dxa" w:w="80"/>
              <w:right w:type="dxa" w:w="100"/>
            </w:tcMar>
          </w:tcPr>
          <w:p>
            <w:pPr>
              <w:spacing w:after="0" w:line="240"/>
            </w:pPr>
            <w:r>
              <w:rPr>
                <w:b/>
                <w:bCs/>
                <w:sz w:val="17"/>
                <w:szCs w:val="17"/>
              </w:rPr>
              <w:t xml:space="preserve">Per-emirate fee schedules; informal sector</w:t>
            </w:r>
          </w:p>
        </w:tc>
      </w:tr>
    </w:tbl>
    <w:p>
      <w:pPr>
        <w:spacing w:after="200"/>
      </w:pPr>
      <w:r>
        <w:rPr>
          <w:sz w:val="8"/>
          <w:szCs w:val="8"/>
        </w:rPr>
        <w:t xml:space="preserve"/>
      </w:r>
    </w:p>
    <w:p>
      <w:pPr>
        <w:pageBreakBefore/>
        <w:spacing w:after="120" w:before="3600"/>
        <w:jc w:val="center"/>
      </w:pPr>
      <w:r>
        <w:rPr>
          <w:rFonts w:ascii="Georgia" w:cs="Georgia" w:eastAsia="Georgia" w:hAnsi="Georgia"/>
          <w:b/>
          <w:bCs/>
          <w:color w:val="C9A227"/>
          <w:spacing w:val="60"/>
          <w:sz w:val="26"/>
          <w:szCs w:val="26"/>
        </w:rPr>
        <w:t xml:space="preserve">PART III</w:t>
      </w:r>
    </w:p>
    <w:p>
      <w:pPr>
        <w:pStyle w:val="Heading1"/>
        <w:spacing w:after="200"/>
        <w:jc w:val="center"/>
      </w:pPr>
      <w:r>
        <w:rPr>
          <w:rFonts w:ascii="Georgia" w:cs="Georgia" w:eastAsia="Georgia" w:hAnsi="Georgia"/>
          <w:b/>
          <w:bCs/>
          <w:color w:val="1B2A4A"/>
          <w:sz w:val="56"/>
          <w:szCs w:val="56"/>
        </w:rPr>
        <w:t xml:space="preserve">System, Legal &amp; Delivery Design</w:t>
      </w:r>
    </w:p>
    <w:p>
      <w:pPr>
        <w:pBdr>
          <w:bottom w:val="single" w:color="C9A227" w:sz="12" w:space="1"/>
        </w:pBdr>
        <w:spacing w:after="200"/>
        <w:jc w:val="center"/>
      </w:pPr>
      <w:r>
        <w:rPr>
          <w:sz w:val="8"/>
          <w:szCs w:val="8"/>
        </w:rPr>
        <w:t xml:space="preserve"> </w:t>
      </w:r>
    </w:p>
    <w:p>
      <w:pPr>
        <w:pageBreakBefore/>
        <w:spacing w:after="80" w:before="0"/>
      </w:pPr>
      <w:r>
        <w:rPr>
          <w:rFonts w:ascii="Georgia" w:cs="Georgia" w:eastAsia="Georgia" w:hAnsi="Georgia"/>
          <w:b/>
          <w:bCs/>
          <w:color w:val="C9A227"/>
          <w:spacing w:val="40"/>
          <w:sz w:val="20"/>
          <w:szCs w:val="20"/>
        </w:rPr>
        <w:t xml:space="preserve">CHAPTER 6</w:t>
      </w:r>
    </w:p>
    <w:p>
      <w:pPr>
        <w:pStyle w:val="Heading1"/>
        <w:pBdr>
          <w:bottom w:val="single" w:color="C9A227" w:sz="10" w:space="4"/>
        </w:pBdr>
        <w:spacing w:after="280"/>
      </w:pPr>
      <w:r>
        <w:rPr>
          <w:rFonts w:ascii="Georgia" w:cs="Georgia" w:eastAsia="Georgia" w:hAnsi="Georgia"/>
          <w:b/>
          <w:bCs/>
          <w:color w:val="1B2A4A"/>
          <w:sz w:val="44"/>
          <w:szCs w:val="44"/>
        </w:rPr>
        <w:t xml:space="preserve">System Design &amp; Operating Model</w:t>
      </w:r>
    </w:p>
    <w:p>
      <w:pPr>
        <w:pStyle w:val="Heading2"/>
        <w:keepNext/>
        <w:spacing w:after="140" w:before="340"/>
      </w:pPr>
      <w:r>
        <w:rPr>
          <w:rFonts w:ascii="Georgia" w:cs="Georgia" w:eastAsia="Georgia" w:hAnsi="Georgia"/>
          <w:b/>
          <w:bCs/>
          <w:color w:val="1B2A4A"/>
          <w:sz w:val="30"/>
          <w:szCs w:val="30"/>
        </w:rPr>
        <w:t xml:space="preserve">6.0 Chapter overview</w:t>
      </w:r>
    </w:p>
    <w:p>
      <w:pPr>
        <w:spacing w:after="160" w:line="300"/>
        <w:jc w:val="both"/>
      </w:pPr>
      <w:r>
        <w:t xml:space="preserve">This chapter translates the strategic case for a UAE Deposit Return System into a concrete, buildable operating model. It specifies eight design layers: (1) scope and the deposit model; (2) governance and institutional structure; (3) the collection network; (4) logistics, counting and sorting; (5) recycling and material offtake; (6) the central IT platform; (7) the consumer experience; and (8) the treatment of unredeemed deposits.</w:t>
      </w:r>
    </w:p>
    <w:p>
      <w:pPr>
        <w:spacing w:after="160" w:line="300"/>
        <w:jc w:val="both"/>
      </w:pPr>
      <w:r>
        <w:t xml:space="preserve">Two principles govern every design choice that follows. First, </w:t>
      </w:r>
      <w:r>
        <w:rPr>
          <w:b/>
          <w:bCs/>
        </w:rPr>
        <w:t xml:space="preserve">the system is engineered for the steady state, not the ramp-up</w:t>
      </w:r>
      <w:r>
        <w:t xml:space="preserve"> - producer fees are calibrated so that fees plus material revenue cover 105-110% of system costs at 90% redemption, with an annual cost-recovery review (the Ireland/Latvia methodology precedent). Second, </w:t>
      </w:r>
      <w:r>
        <w:rPr>
          <w:b/>
          <w:bCs/>
        </w:rPr>
        <w:t xml:space="preserve">deposit money is never operator revenue</w:t>
      </w:r>
      <w:r>
        <w:t xml:space="preserve">: deposit funds are pass-through liabilities held in transparent escrow, and Segen's commercial benefit arises exclusively from managing collection, sorting, processing and recycling operations and from the value of recovered materials - never from unclaimed deposits. This is a binding commitment from the Project Description, and the governance design in Section 6.2 is built to make it structurally enforceable.</w:t>
      </w:r>
    </w:p>
    <w:p>
      <w:pPr>
        <w:pBdr>
          <w:left w:val="single" w:color="C9A227" w:sz="18"/>
        </w:pBdr>
        <w:shd w:fill="F5F1E8" w:val="clear"/>
        <w:spacing w:after="100" w:before="60" w:line="280"/>
        <w:ind w:left="260" w:right="260"/>
      </w:pPr>
      <w:r>
        <w:rPr>
          <w:color w:val="1B2A4A"/>
          <w:sz w:val="20"/>
          <w:szCs w:val="20"/>
        </w:rPr>
        <w:t xml:space="preserve">"Deposit funds move between producers, importers, retailers, consumers, and the system administrator and are not treated as operating revenue for the project operator." - Project Description, Segen (verbatim commitment)</w:t>
      </w:r>
    </w:p>
    <w:p>
      <w:pPr>
        <w:spacing w:after="120"/>
      </w:pPr>
      <w:r>
        <w:rPr>
          <w:sz w:val="8"/>
          <w:szCs w:val="8"/>
        </w:rPr>
        <w:t xml:space="preserve"/>
      </w:r>
    </w:p>
    <w:p>
      <w:pPr>
        <w:pStyle w:val="Heading2"/>
        <w:keepNext/>
        <w:spacing w:after="140" w:before="340"/>
      </w:pPr>
      <w:r>
        <w:rPr>
          <w:rFonts w:ascii="Georgia" w:cs="Georgia" w:eastAsia="Georgia" w:hAnsi="Georgia"/>
          <w:b/>
          <w:bCs/>
          <w:color w:val="1B2A4A"/>
          <w:sz w:val="30"/>
          <w:szCs w:val="30"/>
        </w:rPr>
        <w:t xml:space="preserve">6.1 System scope and deposit model</w:t>
      </w:r>
    </w:p>
    <w:p>
      <w:pPr>
        <w:pStyle w:val="Heading3"/>
        <w:keepNext/>
        <w:spacing w:after="110" w:before="260"/>
      </w:pPr>
      <w:r>
        <w:rPr>
          <w:rFonts w:ascii="Calibri" w:cs="Calibri" w:eastAsia="Calibri" w:hAnsi="Calibri"/>
          <w:b/>
          <w:bCs/>
          <w:color w:val="4A6580"/>
          <w:sz w:val="24"/>
          <w:szCs w:val="24"/>
        </w:rPr>
        <w:t xml:space="preserve">6.1.1 Material and product scope</w:t>
      </w:r>
    </w:p>
    <w:p>
      <w:pPr>
        <w:spacing w:after="160" w:line="300"/>
        <w:jc w:val="both"/>
      </w:pPr>
      <w:r>
        <w:t xml:space="preserve">The UAE system launches </w:t>
      </w:r>
      <w:r>
        <w:rPr>
          <w:b/>
          <w:bCs/>
        </w:rPr>
        <w:t xml:space="preserve">nationally, from day one, across all three material streams: PET plastic, metal (aluminium and steel cans), and glass</w:t>
      </w:r>
      <w:r>
        <w:t xml:space="preserve">. This mirrors the proven scope of Lithuania, Romania, Hungary, Croatia, Malta and Estonia, all of which include glass in a single system (Reloop, 2024). Phased or partial scope is explicitly rejected: every recent fast-ramping system - Lithuania (2016), Slovakia (2022), Malta (2022), Romania (2023), Hungary (2024), Ireland (2024), Austria (2025), Türkiye (2026) - launched nationally in one step, and several reached 80-90% return rates within 12-24 months (Reloop, 2026; USAD, 2019).</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2912"/>
        <w:gridCol w:w="2912"/>
        <w:gridCol w:w="2914"/>
      </w:tblGrid>
      <w:tr>
        <w:trPr>
          <w:tblHeader/>
        </w:trPr>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Design parameter</w:t>
            </w:r>
          </w:p>
        </w:tc>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Recommendation</w:t>
            </w:r>
          </w:p>
        </w:tc>
        <w:tc>
          <w:tcPr>
            <w:tcW w:type="dxa" w:w="291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Benchmark basis</w:t>
            </w:r>
          </w:p>
        </w:tc>
      </w:tr>
      <w:tr>
        <w:tc>
          <w:tcPr>
            <w:tcW w:type="dxa" w:w="2912"/>
            <w:shd w:fill="FFFFFF" w:val="clear"/>
            <w:tcMar>
              <w:top w:type="dxa" w:w="80"/>
              <w:left w:type="dxa" w:w="100"/>
              <w:bottom w:type="dxa" w:w="80"/>
              <w:right w:type="dxa" w:w="100"/>
            </w:tcMar>
          </w:tcPr>
          <w:p>
            <w:pPr>
              <w:spacing w:after="0" w:line="240"/>
            </w:pPr>
            <w:r>
              <w:rPr>
                <w:sz w:val="17"/>
                <w:szCs w:val="17"/>
              </w:rPr>
              <w:t xml:space="preserve">Materials</w:t>
            </w:r>
          </w:p>
        </w:tc>
        <w:tc>
          <w:tcPr>
            <w:tcW w:type="dxa" w:w="2912"/>
            <w:shd w:fill="FFFFFF" w:val="clear"/>
            <w:tcMar>
              <w:top w:type="dxa" w:w="80"/>
              <w:left w:type="dxa" w:w="100"/>
              <w:bottom w:type="dxa" w:w="80"/>
              <w:right w:type="dxa" w:w="100"/>
            </w:tcMar>
          </w:tcPr>
          <w:p>
            <w:pPr>
              <w:spacing w:after="0" w:line="240"/>
            </w:pPr>
            <w:r>
              <w:rPr>
                <w:sz w:val="17"/>
                <w:szCs w:val="17"/>
              </w:rPr>
              <w:t xml:space="preserve">PET, aluminium/steel cans, glass</w:t>
            </w:r>
          </w:p>
        </w:tc>
        <w:tc>
          <w:tcPr>
            <w:tcW w:type="dxa" w:w="2914"/>
            <w:shd w:fill="FFFFFF" w:val="clear"/>
            <w:tcMar>
              <w:top w:type="dxa" w:w="80"/>
              <w:left w:type="dxa" w:w="100"/>
              <w:bottom w:type="dxa" w:w="80"/>
              <w:right w:type="dxa" w:w="100"/>
            </w:tcMar>
          </w:tcPr>
          <w:p>
            <w:pPr>
              <w:spacing w:after="0" w:line="240"/>
            </w:pPr>
            <w:r>
              <w:rPr>
                <w:sz w:val="17"/>
                <w:szCs w:val="17"/>
              </w:rPr>
              <w:t xml:space="preserve">LT, RO, HU, HR, MT, EE include glass (Reloop, 2024)</w:t>
            </w:r>
          </w:p>
        </w:tc>
      </w:tr>
      <w:tr>
        <w:tc>
          <w:tcPr>
            <w:tcW w:type="dxa" w:w="2912"/>
            <w:shd w:fill="F5F1E8" w:val="clear"/>
            <w:tcMar>
              <w:top w:type="dxa" w:w="80"/>
              <w:left w:type="dxa" w:w="100"/>
              <w:bottom w:type="dxa" w:w="80"/>
              <w:right w:type="dxa" w:w="100"/>
            </w:tcMar>
          </w:tcPr>
          <w:p>
            <w:pPr>
              <w:spacing w:after="0" w:line="240"/>
            </w:pPr>
            <w:r>
              <w:rPr>
                <w:sz w:val="17"/>
                <w:szCs w:val="17"/>
              </w:rPr>
              <w:t xml:space="preserve">Size band</w:t>
            </w:r>
          </w:p>
        </w:tc>
        <w:tc>
          <w:tcPr>
            <w:tcW w:type="dxa" w:w="2912"/>
            <w:shd w:fill="F5F1E8" w:val="clear"/>
            <w:tcMar>
              <w:top w:type="dxa" w:w="80"/>
              <w:left w:type="dxa" w:w="100"/>
              <w:bottom w:type="dxa" w:w="80"/>
              <w:right w:type="dxa" w:w="100"/>
            </w:tcMar>
          </w:tcPr>
          <w:p>
            <w:pPr>
              <w:spacing w:after="0" w:line="240"/>
            </w:pPr>
            <w:r>
              <w:rPr>
                <w:b/>
                <w:bCs/>
                <w:sz w:val="17"/>
                <w:szCs w:val="17"/>
              </w:rPr>
              <w:t xml:space="preserve">0.1 L - 3.0 L</w:t>
            </w:r>
          </w:p>
        </w:tc>
        <w:tc>
          <w:tcPr>
            <w:tcW w:type="dxa" w:w="2914"/>
            <w:shd w:fill="F5F1E8" w:val="clear"/>
            <w:tcMar>
              <w:top w:type="dxa" w:w="80"/>
              <w:left w:type="dxa" w:w="100"/>
              <w:bottom w:type="dxa" w:w="80"/>
              <w:right w:type="dxa" w:w="100"/>
            </w:tcMar>
          </w:tcPr>
          <w:p>
            <w:pPr>
              <w:spacing w:after="0" w:line="240"/>
            </w:pPr>
            <w:r>
              <w:rPr>
                <w:sz w:val="17"/>
                <w:szCs w:val="17"/>
              </w:rPr>
              <w:t xml:space="preserve">Standard band across LT/RO/HU/MT/EE/LV (Reloop, 2024)</w:t>
            </w:r>
          </w:p>
        </w:tc>
      </w:tr>
      <w:tr>
        <w:tc>
          <w:tcPr>
            <w:tcW w:type="dxa" w:w="2912"/>
            <w:shd w:fill="FFFFFF" w:val="clear"/>
            <w:tcMar>
              <w:top w:type="dxa" w:w="80"/>
              <w:left w:type="dxa" w:w="100"/>
              <w:bottom w:type="dxa" w:w="80"/>
              <w:right w:type="dxa" w:w="100"/>
            </w:tcMar>
          </w:tcPr>
          <w:p>
            <w:pPr>
              <w:spacing w:after="0" w:line="240"/>
            </w:pPr>
            <w:r>
              <w:rPr>
                <w:sz w:val="17"/>
                <w:szCs w:val="17"/>
              </w:rPr>
              <w:t xml:space="preserve">Beverages</w:t>
            </w:r>
          </w:p>
        </w:tc>
        <w:tc>
          <w:tcPr>
            <w:tcW w:type="dxa" w:w="2912"/>
            <w:shd w:fill="FFFFFF" w:val="clear"/>
            <w:tcMar>
              <w:top w:type="dxa" w:w="80"/>
              <w:left w:type="dxa" w:w="100"/>
              <w:bottom w:type="dxa" w:w="80"/>
              <w:right w:type="dxa" w:w="100"/>
            </w:tcMar>
          </w:tcPr>
          <w:p>
            <w:pPr>
              <w:spacing w:after="0" w:line="240"/>
            </w:pPr>
            <w:r>
              <w:rPr>
                <w:sz w:val="17"/>
                <w:szCs w:val="17"/>
              </w:rPr>
              <w:t xml:space="preserve">Water, CSD, juices, nectars, iced tea, sports/energy drinks, beer/cider; dairy excluded at launch</w:t>
            </w:r>
          </w:p>
        </w:tc>
        <w:tc>
          <w:tcPr>
            <w:tcW w:type="dxa" w:w="2914"/>
            <w:shd w:fill="FFFFFF" w:val="clear"/>
            <w:tcMar>
              <w:top w:type="dxa" w:w="80"/>
              <w:left w:type="dxa" w:w="100"/>
              <w:bottom w:type="dxa" w:w="80"/>
              <w:right w:type="dxa" w:w="100"/>
            </w:tcMar>
          </w:tcPr>
          <w:p>
            <w:pPr>
              <w:spacing w:after="0" w:line="240"/>
            </w:pPr>
            <w:r>
              <w:rPr>
                <w:sz w:val="17"/>
                <w:szCs w:val="17"/>
              </w:rPr>
              <w:t xml:space="preserve">RO/HU/LT precedent; dairy exclusions common (Reloop, 2024)</w:t>
            </w:r>
          </w:p>
        </w:tc>
      </w:tr>
      <w:tr>
        <w:tc>
          <w:tcPr>
            <w:tcW w:type="dxa" w:w="2912"/>
            <w:shd w:fill="F5F1E8" w:val="clear"/>
            <w:tcMar>
              <w:top w:type="dxa" w:w="80"/>
              <w:left w:type="dxa" w:w="100"/>
              <w:bottom w:type="dxa" w:w="80"/>
              <w:right w:type="dxa" w:w="100"/>
            </w:tcMar>
          </w:tcPr>
          <w:p>
            <w:pPr>
              <w:spacing w:after="0" w:line="240"/>
            </w:pPr>
            <w:r>
              <w:rPr>
                <w:sz w:val="17"/>
                <w:szCs w:val="17"/>
              </w:rPr>
              <w:t xml:space="preserve">Geography</w:t>
            </w:r>
          </w:p>
        </w:tc>
        <w:tc>
          <w:tcPr>
            <w:tcW w:type="dxa" w:w="2912"/>
            <w:shd w:fill="F5F1E8" w:val="clear"/>
            <w:tcMar>
              <w:top w:type="dxa" w:w="80"/>
              <w:left w:type="dxa" w:w="100"/>
              <w:bottom w:type="dxa" w:w="80"/>
              <w:right w:type="dxa" w:w="100"/>
            </w:tcMar>
          </w:tcPr>
          <w:p>
            <w:pPr>
              <w:spacing w:after="0" w:line="240"/>
            </w:pPr>
            <w:r>
              <w:rPr>
                <w:sz w:val="17"/>
                <w:szCs w:val="17"/>
              </w:rPr>
              <w:t xml:space="preserve">All seven emirates, national day-one</w:t>
            </w:r>
          </w:p>
        </w:tc>
        <w:tc>
          <w:tcPr>
            <w:tcW w:type="dxa" w:w="2914"/>
            <w:shd w:fill="F5F1E8" w:val="clear"/>
            <w:tcMar>
              <w:top w:type="dxa" w:w="80"/>
              <w:left w:type="dxa" w:w="100"/>
              <w:bottom w:type="dxa" w:w="80"/>
              <w:right w:type="dxa" w:w="100"/>
            </w:tcMar>
          </w:tcPr>
          <w:p>
            <w:pPr>
              <w:spacing w:after="0" w:line="240"/>
            </w:pPr>
            <w:r>
              <w:rPr>
                <w:sz w:val="17"/>
                <w:szCs w:val="17"/>
              </w:rPr>
              <w:t xml:space="preserve">Every 2016-2026 launch national from day one (Reloop, 2026)</w:t>
            </w:r>
          </w:p>
        </w:tc>
      </w:tr>
      <w:tr>
        <w:tc>
          <w:tcPr>
            <w:tcW w:type="dxa" w:w="2912"/>
            <w:shd w:fill="FFFFFF" w:val="clear"/>
            <w:tcMar>
              <w:top w:type="dxa" w:w="80"/>
              <w:left w:type="dxa" w:w="100"/>
              <w:bottom w:type="dxa" w:w="80"/>
              <w:right w:type="dxa" w:w="100"/>
            </w:tcMar>
          </w:tcPr>
          <w:p>
            <w:pPr>
              <w:spacing w:after="0" w:line="240"/>
            </w:pPr>
            <w:r>
              <w:rPr>
                <w:sz w:val="17"/>
                <w:szCs w:val="17"/>
              </w:rPr>
              <w:t xml:space="preserve">Base-case placed-on-market (2028)</w:t>
            </w:r>
          </w:p>
        </w:tc>
        <w:tc>
          <w:tcPr>
            <w:tcW w:type="dxa" w:w="2912"/>
            <w:shd w:fill="FFFFFF" w:val="clear"/>
            <w:tcMar>
              <w:top w:type="dxa" w:w="80"/>
              <w:left w:type="dxa" w:w="100"/>
              <w:bottom w:type="dxa" w:w="80"/>
              <w:right w:type="dxa" w:w="100"/>
            </w:tcMar>
          </w:tcPr>
          <w:p>
            <w:pPr>
              <w:spacing w:after="0" w:line="240"/>
            </w:pPr>
            <w:r>
              <w:rPr>
                <w:b/>
                <w:bCs/>
                <w:sz w:val="17"/>
                <w:szCs w:val="17"/>
              </w:rPr>
              <w:t xml:space="preserve">3.74 bn units</w:t>
            </w:r>
            <w:r>
              <w:rPr>
                <w:sz w:val="17"/>
                <w:szCs w:val="17"/>
              </w:rPr>
              <w:t xml:space="preserve"> (PET 2.90 bn / cans 0.66 bn / glass 0.18 bn)</w:t>
            </w:r>
          </w:p>
        </w:tc>
        <w:tc>
          <w:tcPr>
            <w:tcW w:type="dxa" w:w="2914"/>
            <w:shd w:fill="FFFFFF" w:val="clear"/>
            <w:tcMar>
              <w:top w:type="dxa" w:w="80"/>
              <w:left w:type="dxa" w:w="100"/>
              <w:bottom w:type="dxa" w:w="80"/>
              <w:right w:type="dxa" w:w="100"/>
            </w:tcMar>
          </w:tcPr>
          <w:p>
            <w:pPr>
              <w:spacing w:after="0" w:line="240"/>
            </w:pPr>
            <w:r>
              <w:rPr>
                <w:sz w:val="17"/>
                <w:szCs w:val="17"/>
              </w:rPr>
              <w:t xml:space="preserve">Financial assumptions memo, base case</w:t>
            </w:r>
          </w:p>
        </w:tc>
      </w:tr>
    </w:tbl>
    <w:p>
      <w:pPr>
        <w:spacing w:after="200"/>
      </w:pPr>
      <w:r>
        <w:rPr>
          <w:sz w:val="8"/>
          <w:szCs w:val="8"/>
        </w:rPr>
        <w:t xml:space="preserve"/>
      </w:r>
    </w:p>
    <w:p>
      <w:pPr>
        <w:spacing w:after="160" w:line="300"/>
        <w:jc w:val="both"/>
      </w:pPr>
      <w:r>
        <w:t xml:space="preserve">Glass sizing is the one soft number in the scope table: </w:t>
      </w:r>
      <w:r>
        <w:rPr>
          <w:b/>
          <w:bCs/>
        </w:rPr>
        <w:t xml:space="preserve">0.18 bn units is an analyst estimate (~5% of PET + can volume)</w:t>
      </w:r>
      <w:r>
        <w:t xml:space="preserve"> because no glass-container market data exists in any internal source [DATA GAP: UAE glass beverage-container market sizing - pending producer/importer SKU validation]. Inclusion of glass is nonetheless strategically supported: the Tadweer Group-TOMRA MoU already contemplates a nationwide voluntary programme covering PET, cans and glass (WAM, 2023), and glass return rates in mixed systems run only 5-10 points below PET/metal (Reloop, 2024).</w:t>
      </w:r>
    </w:p>
    <w:p>
      <w:pPr>
        <w:pStyle w:val="Heading3"/>
        <w:keepNext/>
        <w:spacing w:after="110" w:before="260"/>
      </w:pPr>
      <w:r>
        <w:rPr>
          <w:rFonts w:ascii="Calibri" w:cs="Calibri" w:eastAsia="Calibri" w:hAnsi="Calibri"/>
          <w:b/>
          <w:bCs/>
          <w:color w:val="4A6580"/>
          <w:sz w:val="24"/>
          <w:szCs w:val="24"/>
        </w:rPr>
        <w:t xml:space="preserve">6.1.2 The deposit: flat AED 0.25 - a non-binding recommendation</w:t>
      </w:r>
    </w:p>
    <w:p>
      <w:pPr>
        <w:spacing w:after="160" w:line="300"/>
        <w:jc w:val="both"/>
      </w:pPr>
      <w:r>
        <w:t xml:space="preserve">We recommend a </w:t>
      </w:r>
      <w:r>
        <w:rPr>
          <w:b/>
          <w:bCs/>
        </w:rPr>
        <w:t xml:space="preserve">flat deposit of AED 0.25 (~€0.063) on every in-scope container, regardless of material or size</w:t>
      </w:r>
      <w:r>
        <w:t xml:space="preserve">. This recommendation is </w:t>
      </w:r>
      <w:r>
        <w:rPr>
          <w:b/>
          <w:bCs/>
        </w:rPr>
        <w:t xml:space="preserve">non-binding - a reference point for policymakers</w:t>
      </w:r>
      <w:r>
        <w:t xml:space="preserve">, to be set finally in the implementing regulation and reviewed at the year-2 statutory review.</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4369"/>
        <w:gridCol w:w="4369"/>
      </w:tblGrid>
      <w:tr>
        <w:trPr>
          <w:tblHeader/>
        </w:trPr>
        <w:tc>
          <w:tcPr>
            <w:tcW w:type="dxa" w:w="4369"/>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Option assessed</w:t>
            </w:r>
          </w:p>
        </w:tc>
        <w:tc>
          <w:tcPr>
            <w:tcW w:type="dxa" w:w="4369"/>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Verdict</w:t>
            </w:r>
          </w:p>
        </w:tc>
      </w:tr>
      <w:tr>
        <w:tc>
          <w:tcPr>
            <w:tcW w:type="dxa" w:w="4369"/>
            <w:shd w:fill="FFFFFF" w:val="clear"/>
            <w:tcMar>
              <w:top w:type="dxa" w:w="80"/>
              <w:left w:type="dxa" w:w="100"/>
              <w:bottom w:type="dxa" w:w="80"/>
              <w:right w:type="dxa" w:w="100"/>
            </w:tcMar>
          </w:tcPr>
          <w:p>
            <w:pPr>
              <w:spacing w:after="0" w:line="240"/>
            </w:pPr>
            <w:r>
              <w:rPr>
                <w:sz w:val="17"/>
                <w:szCs w:val="17"/>
              </w:rPr>
              <w:t xml:space="preserve">AED 0.10</w:t>
            </w:r>
          </w:p>
        </w:tc>
        <w:tc>
          <w:tcPr>
            <w:tcW w:type="dxa" w:w="4369"/>
            <w:shd w:fill="FFFFFF" w:val="clear"/>
            <w:tcMar>
              <w:top w:type="dxa" w:w="80"/>
              <w:left w:type="dxa" w:w="100"/>
              <w:bottom w:type="dxa" w:w="80"/>
              <w:right w:type="dxa" w:w="100"/>
            </w:tcMar>
          </w:tcPr>
          <w:p>
            <w:pPr>
              <w:spacing w:after="0" w:line="240"/>
            </w:pPr>
            <w:r>
              <w:rPr>
                <w:b/>
                <w:bCs/>
                <w:sz w:val="17"/>
                <w:szCs w:val="17"/>
              </w:rPr>
              <w:t xml:space="preserve">Rejected - too weak</w:t>
            </w:r>
            <w:r>
              <w:rPr>
                <w:sz w:val="17"/>
                <w:szCs w:val="17"/>
              </w:rPr>
              <w:t xml:space="preserve"> for a high-income, convenience-driven market; Lithuania's €0.10 works in a lower-income EU context; Türkiye's ₺1 (~AED 0.11) is unproven (launched 1 July 2026)</w:t>
            </w:r>
          </w:p>
        </w:tc>
      </w:tr>
      <w:tr>
        <w:tc>
          <w:tcPr>
            <w:tcW w:type="dxa" w:w="4369"/>
            <w:shd w:fill="F5F1E8" w:val="clear"/>
            <w:tcMar>
              <w:top w:type="dxa" w:w="80"/>
              <w:left w:type="dxa" w:w="100"/>
              <w:bottom w:type="dxa" w:w="80"/>
              <w:right w:type="dxa" w:w="100"/>
            </w:tcMar>
          </w:tcPr>
          <w:p>
            <w:pPr>
              <w:spacing w:after="0" w:line="240"/>
            </w:pPr>
            <w:r>
              <w:rPr>
                <w:b/>
                <w:bCs/>
                <w:sz w:val="17"/>
                <w:szCs w:val="17"/>
              </w:rPr>
              <w:t xml:space="preserve">AED 0.25</w:t>
            </w:r>
          </w:p>
        </w:tc>
        <w:tc>
          <w:tcPr>
            <w:tcW w:type="dxa" w:w="4369"/>
            <w:shd w:fill="F5F1E8" w:val="clear"/>
            <w:tcMar>
              <w:top w:type="dxa" w:w="80"/>
              <w:left w:type="dxa" w:w="100"/>
              <w:bottom w:type="dxa" w:w="80"/>
              <w:right w:type="dxa" w:w="100"/>
            </w:tcMar>
          </w:tcPr>
          <w:p>
            <w:pPr>
              <w:spacing w:after="0" w:line="240"/>
            </w:pPr>
            <w:r>
              <w:rPr>
                <w:b/>
                <w:bCs/>
                <w:sz w:val="17"/>
                <w:szCs w:val="17"/>
              </w:rPr>
              <w:t xml:space="preserve">Recommended.</w:t>
            </w:r>
            <w:r>
              <w:rPr>
                <w:sz w:val="17"/>
                <w:szCs w:val="17"/>
              </w:rPr>
              <w:t xml:space="preserve"> ~25% of a typical AED 1 water-bottle price - a behaviour-changing incentive; flat = simple (LT/RO/HU precedent); low fraud incentive</w:t>
            </w:r>
          </w:p>
        </w:tc>
      </w:tr>
      <w:tr>
        <w:tc>
          <w:tcPr>
            <w:tcW w:type="dxa" w:w="4369"/>
            <w:shd w:fill="FFFFFF" w:val="clear"/>
            <w:tcMar>
              <w:top w:type="dxa" w:w="80"/>
              <w:left w:type="dxa" w:w="100"/>
              <w:bottom w:type="dxa" w:w="80"/>
              <w:right w:type="dxa" w:w="100"/>
            </w:tcMar>
          </w:tcPr>
          <w:p>
            <w:pPr>
              <w:spacing w:after="0" w:line="240"/>
            </w:pPr>
            <w:r>
              <w:rPr>
                <w:sz w:val="17"/>
                <w:szCs w:val="17"/>
              </w:rPr>
              <w:t xml:space="preserve">AED 0.50</w:t>
            </w:r>
          </w:p>
        </w:tc>
        <w:tc>
          <w:tcPr>
            <w:tcW w:type="dxa" w:w="4369"/>
            <w:shd w:fill="FFFFFF" w:val="clear"/>
            <w:tcMar>
              <w:top w:type="dxa" w:w="80"/>
              <w:left w:type="dxa" w:w="100"/>
              <w:bottom w:type="dxa" w:w="80"/>
              <w:right w:type="dxa" w:w="100"/>
            </w:tcMar>
          </w:tcPr>
          <w:p>
            <w:pPr>
              <w:spacing w:after="0" w:line="240"/>
            </w:pPr>
            <w:r>
              <w:rPr>
                <w:b/>
                <w:bCs/>
                <w:sz w:val="17"/>
                <w:szCs w:val="17"/>
              </w:rPr>
              <w:t xml:space="preserve">Rejected for launch</w:t>
            </w:r>
            <w:r>
              <w:rPr>
                <w:sz w:val="17"/>
                <w:szCs w:val="17"/>
              </w:rPr>
              <w:t xml:space="preserve"> - approaches German €0.25 nominal in a market with no DRS history; raises cross-border fraud incentive and producer working-capital burden (gross float would reach ~AED 1.9-2.2 bn/yr)</w:t>
            </w:r>
          </w:p>
        </w:tc>
      </w:tr>
      <w:tr>
        <w:tc>
          <w:tcPr>
            <w:tcW w:type="dxa" w:w="4369"/>
            <w:shd w:fill="F5F1E8" w:val="clear"/>
            <w:tcMar>
              <w:top w:type="dxa" w:w="80"/>
              <w:left w:type="dxa" w:w="100"/>
              <w:bottom w:type="dxa" w:w="80"/>
              <w:right w:type="dxa" w:w="100"/>
            </w:tcMar>
          </w:tcPr>
          <w:p>
            <w:pPr>
              <w:spacing w:after="0" w:line="240"/>
            </w:pPr>
            <w:r>
              <w:rPr>
                <w:sz w:val="17"/>
                <w:szCs w:val="17"/>
              </w:rPr>
              <w:t xml:space="preserve">Variable by size/material</w:t>
            </w:r>
          </w:p>
        </w:tc>
        <w:tc>
          <w:tcPr>
            <w:tcW w:type="dxa" w:w="4369"/>
            <w:shd w:fill="F5F1E8" w:val="clear"/>
            <w:tcMar>
              <w:top w:type="dxa" w:w="80"/>
              <w:left w:type="dxa" w:w="100"/>
              <w:bottom w:type="dxa" w:w="80"/>
              <w:right w:type="dxa" w:w="100"/>
            </w:tcMar>
          </w:tcPr>
          <w:p>
            <w:pPr>
              <w:spacing w:after="0" w:line="240"/>
            </w:pPr>
            <w:r>
              <w:rPr>
                <w:b/>
                <w:bCs/>
                <w:sz w:val="17"/>
                <w:szCs w:val="17"/>
              </w:rPr>
              <w:t xml:space="preserve">Rejected for launch</w:t>
            </w:r>
            <w:r>
              <w:rPr>
                <w:sz w:val="17"/>
                <w:szCs w:val="17"/>
              </w:rPr>
              <w:t xml:space="preserve"> - adds consumer and IT complexity; every recent fast-ramping system launched flat. Revisit at the year-2 review</w:t>
            </w:r>
          </w:p>
        </w:tc>
      </w:tr>
    </w:tbl>
    <w:p>
      <w:pPr>
        <w:spacing w:after="200"/>
      </w:pPr>
      <w:r>
        <w:rPr>
          <w:sz w:val="8"/>
          <w:szCs w:val="8"/>
        </w:rPr>
        <w:t xml:space="preserve"/>
      </w:r>
    </w:p>
    <w:p>
      <w:pPr>
        <w:spacing w:after="160" w:line="300"/>
        <w:jc w:val="both"/>
      </w:pPr>
      <w:r>
        <w:t xml:space="preserve">The fraud-balance logic is Lithuania's own: the deposit must be "motivating enough… but you don't want to set it too high because you want to minimize fraud" (USAD, 2019). Reloop identifies deposit level, programme scope and network convenience as the three strongest performance levers (Reloop, 2026) - AED 0.25 is calibrated to pull all three.</w:t>
      </w:r>
    </w:p>
    <w:p>
      <w:pPr>
        <w:pStyle w:val="Heading3"/>
        <w:keepNext/>
        <w:spacing w:after="110" w:before="260"/>
      </w:pPr>
      <w:r>
        <w:rPr>
          <w:rFonts w:ascii="Calibri" w:cs="Calibri" w:eastAsia="Calibri" w:hAnsi="Calibri"/>
          <w:b/>
          <w:bCs/>
          <w:color w:val="4A6580"/>
          <w:sz w:val="24"/>
          <w:szCs w:val="24"/>
        </w:rPr>
        <w:t xml:space="preserve">6.1.3 DRS marking and registration</w:t>
      </w:r>
    </w:p>
    <w:p>
      <w:pPr>
        <w:spacing w:after="160" w:line="300"/>
        <w:jc w:val="both"/>
      </w:pPr>
      <w:r>
        <w:t xml:space="preserve">Only registered containers are redeemable. Every in-scope SKU must be registered in the central database with its EAN barcode and carry a </w:t>
      </w:r>
      <w:r>
        <w:rPr>
          <w:b/>
          <w:bCs/>
        </w:rPr>
        <w:t xml:space="preserve">mandatory national DRS mark</w:t>
      </w:r>
      <w:r>
        <w:t xml:space="preserve"> on the label - the standard fraud-control triad used by Romania (unique symbol + dedicated barcode), Slovakia ("Z - Zálohované" mark) and Ireland (registered barcode database) (Reloop, 2024; Global Payments Romania, 2023). Registration cost is negligible: the UK Defra impact assessment estimated standardised barcode/registration at </w:t>
      </w:r>
      <w:r>
        <w:rPr>
          <w:b/>
          <w:bCs/>
        </w:rPr>
        <w:t xml:space="preserve">£0.00019 per container</w:t>
      </w:r>
      <w:r>
        <w:t xml:space="preserve"> (Scottish Government, 2025). For imports that cannot relabel at source, adhesive DRS stickers are permitted - the Latvian solution (Reloop, 2024). Eco-modulated producer fees (higher fees for coloured/opaque PET, full-body sleeves, mixed materials) are now standard practice in Finland, Norway, Slovakia, Romania and Estonia, and are scheduled for the UAE system's first fee review rather than at launch (Reloop, 2024).</w:t>
      </w:r>
    </w:p>
    <w:p>
      <w:pPr>
        <w:pStyle w:val="Heading2"/>
        <w:keepNext/>
        <w:spacing w:after="140" w:before="340"/>
      </w:pPr>
      <w:r>
        <w:rPr>
          <w:rFonts w:ascii="Georgia" w:cs="Georgia" w:eastAsia="Georgia" w:hAnsi="Georgia"/>
          <w:b/>
          <w:bCs/>
          <w:color w:val="1B2A4A"/>
          <w:sz w:val="30"/>
          <w:szCs w:val="30"/>
        </w:rPr>
        <w:t xml:space="preserve">6.2 Governance: a single, centralised, not-for-profit DSO under government supervision</w:t>
      </w:r>
    </w:p>
    <w:p>
      <w:pPr>
        <w:pStyle w:val="Heading3"/>
        <w:keepNext/>
        <w:spacing w:after="110" w:before="260"/>
      </w:pPr>
      <w:r>
        <w:rPr>
          <w:rFonts w:ascii="Calibri" w:cs="Calibri" w:eastAsia="Calibri" w:hAnsi="Calibri"/>
          <w:b/>
          <w:bCs/>
          <w:color w:val="4A6580"/>
          <w:sz w:val="24"/>
          <w:szCs w:val="24"/>
        </w:rPr>
        <w:t xml:space="preserve">6.2.1 The institutional model</w:t>
      </w:r>
    </w:p>
    <w:p>
      <w:pPr>
        <w:spacing w:after="160" w:line="300"/>
        <w:jc w:val="both"/>
      </w:pPr>
      <w:r>
        <w:t xml:space="preserve">The best-practice governance model - and the one recommended for the UAE - is a </w:t>
      </w:r>
      <w:r>
        <w:rPr>
          <w:b/>
          <w:bCs/>
        </w:rPr>
        <w:t xml:space="preserve">single, centralised, not-for-profit DSO, functioning as the national Producer Responsibility Organisation (PRO), operating under government sponsorship and supervision</w:t>
      </w:r>
      <w:r>
        <w:t xml:space="preserve">. This is the dominant structure among high performers: Lithuania (USAD), Norway (Infinitum), Sweden (Returpack), Finland (PALPA), Estonia, Slovakia, Ireland (Re-turn) and Malta (BCRS) all run single non-profit industry PROs (Reloop, 2024). Romania adds 20% state shareholding; Hungary runs a state concession; Türkiye a government agency. The UAE design sits closest to the </w:t>
      </w:r>
      <w:r>
        <w:rPr>
          <w:b/>
          <w:bCs/>
        </w:rPr>
        <w:t xml:space="preserve">Romanian variant</w:t>
      </w:r>
      <w:r>
        <w:t xml:space="preserve">: industry-led operations with a formal government seat and oversight.</w:t>
      </w:r>
    </w:p>
    <w:p>
      <w:pPr>
        <w:spacing w:after="160" w:line="300"/>
        <w:jc w:val="both"/>
      </w:pPr>
      <w:r>
        <w:t xml:space="preserve">The UAE DRS is framed as a </w:t>
      </w:r>
      <w:r>
        <w:rPr>
          <w:b/>
          <w:bCs/>
        </w:rPr>
        <w:t xml:space="preserve">national public-private initiative</w:t>
      </w:r>
      <w:r>
        <w:t xml:space="preserve">: the state provides sponsorship, regulatory approval, supervision and the legal framework; Segen builds and operates the operational and technology infrastructure in cooperation with producers, importers, retailers, waste-management companies and recycling facilities.</w:t>
      </w:r>
    </w:p>
    <w:p>
      <w:pPr>
        <w:pStyle w:val="Heading3"/>
        <w:keepNext/>
        <w:spacing w:after="110" w:before="260"/>
      </w:pPr>
      <w:r>
        <w:rPr>
          <w:rFonts w:ascii="Calibri" w:cs="Calibri" w:eastAsia="Calibri" w:hAnsi="Calibri"/>
          <w:b/>
          <w:bCs/>
          <w:color w:val="4A6580"/>
          <w:sz w:val="24"/>
          <w:szCs w:val="24"/>
        </w:rPr>
        <w:t xml:space="preserve">6.2.2 Board composition and control rights</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2912"/>
        <w:gridCol w:w="2912"/>
        <w:gridCol w:w="2914"/>
      </w:tblGrid>
      <w:tr>
        <w:trPr>
          <w:tblHeader/>
        </w:trPr>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Seat</w:t>
            </w:r>
          </w:p>
        </w:tc>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Representation</w:t>
            </w:r>
          </w:p>
        </w:tc>
        <w:tc>
          <w:tcPr>
            <w:tcW w:type="dxa" w:w="291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Role</w:t>
            </w:r>
          </w:p>
        </w:tc>
      </w:tr>
      <w:tr>
        <w:tc>
          <w:tcPr>
            <w:tcW w:type="dxa" w:w="2912"/>
            <w:shd w:fill="FFFFFF" w:val="clear"/>
            <w:tcMar>
              <w:top w:type="dxa" w:w="80"/>
              <w:left w:type="dxa" w:w="100"/>
              <w:bottom w:type="dxa" w:w="80"/>
              <w:right w:type="dxa" w:w="100"/>
            </w:tcMar>
          </w:tcPr>
          <w:p>
            <w:pPr>
              <w:spacing w:after="0" w:line="240"/>
            </w:pPr>
            <w:r>
              <w:rPr>
                <w:sz w:val="17"/>
                <w:szCs w:val="17"/>
              </w:rPr>
              <w:t xml:space="preserve">Producers &amp; bottlers</w:t>
            </w:r>
          </w:p>
        </w:tc>
        <w:tc>
          <w:tcPr>
            <w:tcW w:type="dxa" w:w="2912"/>
            <w:shd w:fill="FFFFFF" w:val="clear"/>
            <w:tcMar>
              <w:top w:type="dxa" w:w="80"/>
              <w:left w:type="dxa" w:w="100"/>
              <w:bottom w:type="dxa" w:w="80"/>
              <w:right w:type="dxa" w:w="100"/>
            </w:tcMar>
          </w:tcPr>
          <w:p>
            <w:pPr>
              <w:spacing w:after="0" w:line="240"/>
            </w:pPr>
            <w:r>
              <w:rPr>
                <w:sz w:val="17"/>
                <w:szCs w:val="17"/>
              </w:rPr>
              <w:t xml:space="preserve">Domestic beverage producers (water, CSD, juices)</w:t>
            </w:r>
          </w:p>
        </w:tc>
        <w:tc>
          <w:tcPr>
            <w:tcW w:type="dxa" w:w="2914"/>
            <w:shd w:fill="FFFFFF" w:val="clear"/>
            <w:tcMar>
              <w:top w:type="dxa" w:w="80"/>
              <w:left w:type="dxa" w:w="100"/>
              <w:bottom w:type="dxa" w:w="80"/>
              <w:right w:type="dxa" w:w="100"/>
            </w:tcMar>
          </w:tcPr>
          <w:p>
            <w:pPr>
              <w:spacing w:after="0" w:line="240"/>
            </w:pPr>
            <w:r>
              <w:rPr>
                <w:sz w:val="17"/>
                <w:szCs w:val="17"/>
              </w:rPr>
              <w:t xml:space="preserve">Largest block; fund the system via producer fees</w:t>
            </w:r>
          </w:p>
        </w:tc>
      </w:tr>
      <w:tr>
        <w:tc>
          <w:tcPr>
            <w:tcW w:type="dxa" w:w="2912"/>
            <w:shd w:fill="F5F1E8" w:val="clear"/>
            <w:tcMar>
              <w:top w:type="dxa" w:w="80"/>
              <w:left w:type="dxa" w:w="100"/>
              <w:bottom w:type="dxa" w:w="80"/>
              <w:right w:type="dxa" w:w="100"/>
            </w:tcMar>
          </w:tcPr>
          <w:p>
            <w:pPr>
              <w:spacing w:after="0" w:line="240"/>
            </w:pPr>
            <w:r>
              <w:rPr>
                <w:sz w:val="17"/>
                <w:szCs w:val="17"/>
              </w:rPr>
              <w:t xml:space="preserve">Importers</w:t>
            </w:r>
          </w:p>
        </w:tc>
        <w:tc>
          <w:tcPr>
            <w:tcW w:type="dxa" w:w="2912"/>
            <w:shd w:fill="F5F1E8" w:val="clear"/>
            <w:tcMar>
              <w:top w:type="dxa" w:w="80"/>
              <w:left w:type="dxa" w:w="100"/>
              <w:bottom w:type="dxa" w:w="80"/>
              <w:right w:type="dxa" w:w="100"/>
            </w:tcMar>
          </w:tcPr>
          <w:p>
            <w:pPr>
              <w:spacing w:after="0" w:line="240"/>
            </w:pPr>
            <w:r>
              <w:rPr>
                <w:sz w:val="17"/>
                <w:szCs w:val="17"/>
              </w:rPr>
              <w:t xml:space="preserve">Beverage importers/distributors</w:t>
            </w:r>
          </w:p>
        </w:tc>
        <w:tc>
          <w:tcPr>
            <w:tcW w:type="dxa" w:w="2914"/>
            <w:shd w:fill="F5F1E8" w:val="clear"/>
            <w:tcMar>
              <w:top w:type="dxa" w:w="80"/>
              <w:left w:type="dxa" w:w="100"/>
              <w:bottom w:type="dxa" w:w="80"/>
              <w:right w:type="dxa" w:w="100"/>
            </w:tcMar>
          </w:tcPr>
          <w:p>
            <w:pPr>
              <w:spacing w:after="0" w:line="240"/>
            </w:pPr>
            <w:r>
              <w:rPr>
                <w:sz w:val="17"/>
                <w:szCs w:val="17"/>
              </w:rPr>
              <w:t xml:space="preserve">Co-equal fee obligations on imported POM</w:t>
            </w:r>
          </w:p>
        </w:tc>
      </w:tr>
      <w:tr>
        <w:tc>
          <w:tcPr>
            <w:tcW w:type="dxa" w:w="2912"/>
            <w:shd w:fill="FFFFFF" w:val="clear"/>
            <w:tcMar>
              <w:top w:type="dxa" w:w="80"/>
              <w:left w:type="dxa" w:w="100"/>
              <w:bottom w:type="dxa" w:w="80"/>
              <w:right w:type="dxa" w:w="100"/>
            </w:tcMar>
          </w:tcPr>
          <w:p>
            <w:pPr>
              <w:spacing w:after="0" w:line="240"/>
            </w:pPr>
            <w:r>
              <w:rPr>
                <w:sz w:val="17"/>
                <w:szCs w:val="17"/>
              </w:rPr>
              <w:t xml:space="preserve">Retailers</w:t>
            </w:r>
          </w:p>
        </w:tc>
        <w:tc>
          <w:tcPr>
            <w:tcW w:type="dxa" w:w="2912"/>
            <w:shd w:fill="FFFFFF" w:val="clear"/>
            <w:tcMar>
              <w:top w:type="dxa" w:w="80"/>
              <w:left w:type="dxa" w:w="100"/>
              <w:bottom w:type="dxa" w:w="80"/>
              <w:right w:type="dxa" w:w="100"/>
            </w:tcMar>
          </w:tcPr>
          <w:p>
            <w:pPr>
              <w:spacing w:after="0" w:line="240"/>
            </w:pPr>
            <w:r>
              <w:rPr>
                <w:sz w:val="17"/>
                <w:szCs w:val="17"/>
              </w:rPr>
              <w:t xml:space="preserve">Major retail groups + small-format representation</w:t>
            </w:r>
          </w:p>
        </w:tc>
        <w:tc>
          <w:tcPr>
            <w:tcW w:type="dxa" w:w="2914"/>
            <w:shd w:fill="FFFFFF" w:val="clear"/>
            <w:tcMar>
              <w:top w:type="dxa" w:w="80"/>
              <w:left w:type="dxa" w:w="100"/>
              <w:bottom w:type="dxa" w:w="80"/>
              <w:right w:type="dxa" w:w="100"/>
            </w:tcMar>
          </w:tcPr>
          <w:p>
            <w:pPr>
              <w:spacing w:after="0" w:line="240"/>
            </w:pPr>
            <w:r>
              <w:rPr>
                <w:sz w:val="17"/>
                <w:szCs w:val="17"/>
              </w:rPr>
              <w:t xml:space="preserve">Host the return network; receive handling fees</w:t>
            </w:r>
          </w:p>
        </w:tc>
      </w:tr>
      <w:tr>
        <w:tc>
          <w:tcPr>
            <w:tcW w:type="dxa" w:w="2912"/>
            <w:shd w:fill="F5F1E8" w:val="clear"/>
            <w:tcMar>
              <w:top w:type="dxa" w:w="80"/>
              <w:left w:type="dxa" w:w="100"/>
              <w:bottom w:type="dxa" w:w="80"/>
              <w:right w:type="dxa" w:w="100"/>
            </w:tcMar>
          </w:tcPr>
          <w:p>
            <w:pPr>
              <w:spacing w:after="0" w:line="240"/>
            </w:pPr>
            <w:r>
              <w:rPr>
                <w:sz w:val="17"/>
                <w:szCs w:val="17"/>
              </w:rPr>
              <w:t xml:space="preserve">Government observer</w:t>
            </w:r>
          </w:p>
        </w:tc>
        <w:tc>
          <w:tcPr>
            <w:tcW w:type="dxa" w:w="2912"/>
            <w:shd w:fill="F5F1E8" w:val="clear"/>
            <w:tcMar>
              <w:top w:type="dxa" w:w="80"/>
              <w:left w:type="dxa" w:w="100"/>
              <w:bottom w:type="dxa" w:w="80"/>
              <w:right w:type="dxa" w:w="100"/>
            </w:tcMar>
          </w:tcPr>
          <w:p>
            <w:pPr>
              <w:spacing w:after="0" w:line="240"/>
            </w:pPr>
            <w:r>
              <w:rPr>
                <w:sz w:val="17"/>
                <w:szCs w:val="17"/>
              </w:rPr>
              <w:t xml:space="preserve">Ministry of Climate Change &amp; Environment / Ministry of Economy &amp; Tourism</w:t>
            </w:r>
          </w:p>
        </w:tc>
        <w:tc>
          <w:tcPr>
            <w:tcW w:type="dxa" w:w="2914"/>
            <w:shd w:fill="F5F1E8" w:val="clear"/>
            <w:tcMar>
              <w:top w:type="dxa" w:w="80"/>
              <w:left w:type="dxa" w:w="100"/>
              <w:bottom w:type="dxa" w:w="80"/>
              <w:right w:type="dxa" w:w="100"/>
            </w:tcMar>
          </w:tcPr>
          <w:p>
            <w:pPr>
              <w:spacing w:after="0" w:line="240"/>
            </w:pPr>
            <w:r>
              <w:rPr>
                <w:sz w:val="17"/>
                <w:szCs w:val="17"/>
              </w:rPr>
              <w:t xml:space="preserve">Non-executive oversight; statutory reporting line; veto over changes to deposit-level and escrow-use rules</w:t>
            </w:r>
          </w:p>
        </w:tc>
      </w:tr>
      <w:tr>
        <w:tc>
          <w:tcPr>
            <w:tcW w:type="dxa" w:w="2912"/>
            <w:shd w:fill="FFFFFF" w:val="clear"/>
            <w:tcMar>
              <w:top w:type="dxa" w:w="80"/>
              <w:left w:type="dxa" w:w="100"/>
              <w:bottom w:type="dxa" w:w="80"/>
              <w:right w:type="dxa" w:w="100"/>
            </w:tcMar>
          </w:tcPr>
          <w:p>
            <w:pPr>
              <w:spacing w:after="0" w:line="240"/>
            </w:pPr>
            <w:r>
              <w:rPr>
                <w:sz w:val="17"/>
                <w:szCs w:val="17"/>
              </w:rPr>
              <w:t xml:space="preserve">Independent chair</w:t>
            </w:r>
          </w:p>
        </w:tc>
        <w:tc>
          <w:tcPr>
            <w:tcW w:type="dxa" w:w="2912"/>
            <w:shd w:fill="FFFFFF" w:val="clear"/>
            <w:tcMar>
              <w:top w:type="dxa" w:w="80"/>
              <w:left w:type="dxa" w:w="100"/>
              <w:bottom w:type="dxa" w:w="80"/>
              <w:right w:type="dxa" w:w="100"/>
            </w:tcMar>
          </w:tcPr>
          <w:p>
            <w:pPr>
              <w:spacing w:after="0" w:line="240"/>
            </w:pPr>
            <w:r>
              <w:rPr>
                <w:sz w:val="17"/>
                <w:szCs w:val="17"/>
              </w:rPr>
              <w:t xml:space="preserve">Appointed jointly</w:t>
            </w:r>
          </w:p>
        </w:tc>
        <w:tc>
          <w:tcPr>
            <w:tcW w:type="dxa" w:w="2914"/>
            <w:shd w:fill="FFFFFF" w:val="clear"/>
            <w:tcMar>
              <w:top w:type="dxa" w:w="80"/>
              <w:left w:type="dxa" w:w="100"/>
              <w:bottom w:type="dxa" w:w="80"/>
              <w:right w:type="dxa" w:w="100"/>
            </w:tcMar>
          </w:tcPr>
          <w:p>
            <w:pPr>
              <w:spacing w:after="0" w:line="240"/>
            </w:pPr>
            <w:r>
              <w:rPr>
                <w:sz w:val="17"/>
                <w:szCs w:val="17"/>
              </w:rPr>
              <w:t xml:space="preserve">Casting-vote neutrality; consumer-interest guardian</w:t>
            </w:r>
          </w:p>
        </w:tc>
      </w:tr>
    </w:tbl>
    <w:p>
      <w:pPr>
        <w:spacing w:after="200"/>
      </w:pPr>
      <w:r>
        <w:rPr>
          <w:sz w:val="8"/>
          <w:szCs w:val="8"/>
        </w:rPr>
        <w:t xml:space="preserve"/>
      </w:r>
    </w:p>
    <w:p>
      <w:pPr>
        <w:spacing w:after="160" w:line="300"/>
        <w:jc w:val="both"/>
      </w:pPr>
      <w:r>
        <w:t xml:space="preserve">Founders should collectively represent </w:t>
      </w:r>
      <w:r>
        <w:rPr>
          <w:b/>
          <w:bCs/>
        </w:rPr>
        <w:t xml:space="preserve">&gt;80% of containers placed on market</w:t>
      </w:r>
      <w:r>
        <w:t xml:space="preserve"> - the threshold that made Lithuania's USAD and Slovakia's SZS effective from day one (Reloop, 2024; USAD, 2019).</w:t>
      </w:r>
    </w:p>
    <w:p>
      <w:pPr>
        <w:pStyle w:val="Heading3"/>
        <w:keepNext/>
        <w:spacing w:after="110" w:before="260"/>
      </w:pPr>
      <w:r>
        <w:rPr>
          <w:rFonts w:ascii="Calibri" w:cs="Calibri" w:eastAsia="Calibri" w:hAnsi="Calibri"/>
          <w:b/>
          <w:bCs/>
          <w:color w:val="4A6580"/>
          <w:sz w:val="24"/>
          <w:szCs w:val="24"/>
        </w:rPr>
        <w:t xml:space="preserve">6.2.3 Why this structure protects the unredeemed-deposits commitment</w:t>
      </w:r>
    </w:p>
    <w:p>
      <w:pPr>
        <w:spacing w:after="160" w:line="300"/>
        <w:jc w:val="both"/>
      </w:pPr>
      <w:r>
        <w:t xml:space="preserve">The Segen pledge - zero profit from unredeemed deposits - is credible only if the institution makes alternative behaviour structurally impossible. Three design features do this:</w:t>
      </w:r>
    </w:p>
    <w:p>
      <w:pPr>
        <w:spacing w:after="90" w:line="290"/>
        <w:ind w:left="380" w:hanging="180"/>
      </w:pPr>
      <w:r>
        <w:rPr>
          <w:b/>
          <w:bCs/>
          <w:color w:val="1B2A4A"/>
        </w:rPr>
        <w:t xml:space="preserve">1. </w:t>
      </w:r>
      <w:r>
        <w:rPr>
          <w:b/>
          <w:bCs/>
        </w:rPr>
        <w:t xml:space="preserve">Non-profit principle.</w:t>
      </w:r>
      <w:r>
        <w:t xml:space="preserve"> The DSO cannot distribute surpluses as profit; any surplus is retained in the system or returned to producers through downward fee resets at the annual review (the optimistic-scenario mechanic in the financial model). Lithuania's "surplus stays in the system" rule is the template (Earth Care Consulting, 2025).</w:t>
      </w:r>
    </w:p>
    <w:p>
      <w:pPr>
        <w:spacing w:after="90" w:line="290"/>
        <w:ind w:left="380" w:hanging="180"/>
      </w:pPr>
      <w:r>
        <w:rPr>
          <w:b/>
          <w:bCs/>
          <w:color w:val="1B2A4A"/>
        </w:rPr>
        <w:t xml:space="preserve">2. </w:t>
      </w:r>
      <w:r>
        <w:rPr>
          <w:b/>
          <w:bCs/>
        </w:rPr>
        <w:t xml:space="preserve">Escrowed deposits.</w:t>
      </w:r>
      <w:r>
        <w:t xml:space="preserve"> All deposit flows sit in a transparent escrow account, legally separated from DSO operating funds - the Slovak "transparent account" model, under which balances are by law usable only for development and improvement of the system (Barikáda, 2021).</w:t>
      </w:r>
    </w:p>
    <w:p>
      <w:pPr>
        <w:spacing w:after="90" w:line="290"/>
        <w:ind w:left="380" w:hanging="180"/>
      </w:pPr>
      <w:r>
        <w:rPr>
          <w:b/>
          <w:bCs/>
          <w:color w:val="1B2A4A"/>
        </w:rPr>
        <w:t xml:space="preserve">3. </w:t>
      </w:r>
      <w:r>
        <w:rPr>
          <w:b/>
          <w:bCs/>
        </w:rPr>
        <w:t xml:space="preserve">Statutory reporting.</w:t>
      </w:r>
      <w:r>
        <w:t xml:space="preserve"> Periodic public reporting of escrow balances and uses to the supervising ministries, with audit rights. Portugal's model - transferring unredeemed deposits above target to a state environment fund from year 3 - is available as a policy option (Reloop, 2024).</w:t>
      </w:r>
    </w:p>
    <w:p>
      <w:pPr>
        <w:pBdr>
          <w:left w:val="single" w:color="C9A227" w:sz="18"/>
        </w:pBdr>
        <w:shd w:fill="F5F1E8" w:val="clear"/>
        <w:spacing w:after="100" w:before="60" w:line="280"/>
        <w:ind w:left="260" w:right="260"/>
      </w:pPr>
      <w:r>
        <w:rPr>
          <w:b/>
          <w:bCs/>
          <w:color w:val="1B2A4A"/>
          <w:sz w:val="20"/>
          <w:szCs w:val="20"/>
        </w:rPr>
        <w:t xml:space="preserve">Consistency note for policymakers:</w:t>
      </w:r>
      <w:r>
        <w:rPr>
          <w:color w:val="1B2A4A"/>
          <w:sz w:val="20"/>
          <w:szCs w:val="20"/>
        </w:rPr>
        <w:t xml:space="preserve"> Earth Care's generic DRS economics observe that unredeemed deposits typically make systems "largely self-financing" (Earth Care Consulting, 2025). In the UAE design, that self-financing role is </w:t>
      </w:r>
      <w:r>
        <w:rPr>
          <w:b/>
          <w:bCs/>
          <w:color w:val="1B2A4A"/>
          <w:sz w:val="20"/>
          <w:szCs w:val="20"/>
        </w:rPr>
        <w:t xml:space="preserve">deliberately replaced by producer fees calibrated for steady-state cost recovery</w:t>
      </w:r>
      <w:r>
        <w:rPr>
          <w:color w:val="1B2A4A"/>
          <w:sz w:val="20"/>
          <w:szCs w:val="20"/>
        </w:rPr>
        <w:t xml:space="preserve"> - which is precisely why recommended UAE fees sit at the top of the European range. Segen's income is limited to operations management and recovered-material value.</w:t>
      </w:r>
    </w:p>
    <w:p>
      <w:pPr>
        <w:spacing w:after="120"/>
      </w:pPr>
      <w:r>
        <w:rPr>
          <w:sz w:val="8"/>
          <w:szCs w:val="8"/>
        </w:rPr>
        <w:t xml:space="preserve"/>
      </w:r>
    </w:p>
    <w:p>
      <w:pPr>
        <w:pStyle w:val="Heading2"/>
        <w:keepNext/>
        <w:spacing w:after="140" w:before="340"/>
      </w:pPr>
      <w:r>
        <w:rPr>
          <w:rFonts w:ascii="Georgia" w:cs="Georgia" w:eastAsia="Georgia" w:hAnsi="Georgia"/>
          <w:b/>
          <w:bCs/>
          <w:color w:val="1B2A4A"/>
          <w:sz w:val="30"/>
          <w:szCs w:val="30"/>
        </w:rPr>
        <w:t xml:space="preserve">6.3 Collection network design</w:t>
      </w:r>
    </w:p>
    <w:p>
      <w:pPr>
        <w:pStyle w:val="Heading3"/>
        <w:keepNext/>
        <w:spacing w:after="110" w:before="260"/>
      </w:pPr>
      <w:r>
        <w:rPr>
          <w:rFonts w:ascii="Calibri" w:cs="Calibri" w:eastAsia="Calibri" w:hAnsi="Calibri"/>
          <w:b/>
          <w:bCs/>
          <w:color w:val="4A6580"/>
          <w:sz w:val="24"/>
          <w:szCs w:val="24"/>
        </w:rPr>
        <w:t xml:space="preserve">6.3.1 Network architecture and density</w:t>
      </w:r>
    </w:p>
    <w:p>
      <w:pPr>
        <w:spacing w:after="160" w:line="300"/>
        <w:jc w:val="both"/>
      </w:pPr>
      <w:r>
        <w:t xml:space="preserve">The network is built on the </w:t>
      </w:r>
      <w:r>
        <w:rPr>
          <w:b/>
          <w:bCs/>
        </w:rPr>
        <w:t xml:space="preserve">return-to-retail principle</w:t>
      </w:r>
      <w:r>
        <w:t xml:space="preserve">: any retailer selling in-scope beverages accepts returns of all registered brands - the core of every European system (Earth Care Consulting, 2025). The design target is </w:t>
      </w:r>
      <w:r>
        <w:rPr>
          <w:b/>
          <w:bCs/>
        </w:rPr>
        <w:t xml:space="preserve">~9,000 return points nationally (~1,250 people per point)</w:t>
      </w:r>
      <w:r>
        <w:t xml:space="preserve">, inside the 1,000-1,500 people/point band where the best-performing systems cluster (Reloop, 2024). For context: Norway runs ~370 people/point, Germany ~642, Romania ~545, Lithuania ~1,110, Ireland ~1,893 (Reloop, 2024).</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2912"/>
        <w:gridCol w:w="2912"/>
        <w:gridCol w:w="2914"/>
      </w:tblGrid>
      <w:tr>
        <w:trPr>
          <w:tblHeader/>
        </w:trPr>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Layer</w:t>
            </w:r>
          </w:p>
        </w:tc>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Scale</w:t>
            </w:r>
          </w:p>
        </w:tc>
        <w:tc>
          <w:tcPr>
            <w:tcW w:type="dxa" w:w="291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Function</w:t>
            </w:r>
          </w:p>
        </w:tc>
      </w:tr>
      <w:tr>
        <w:tc>
          <w:tcPr>
            <w:tcW w:type="dxa" w:w="2912"/>
            <w:shd w:fill="FFFFFF" w:val="clear"/>
            <w:tcMar>
              <w:top w:type="dxa" w:w="80"/>
              <w:left w:type="dxa" w:w="100"/>
              <w:bottom w:type="dxa" w:w="80"/>
              <w:right w:type="dxa" w:w="100"/>
            </w:tcMar>
          </w:tcPr>
          <w:p>
            <w:pPr>
              <w:spacing w:after="0" w:line="240"/>
            </w:pPr>
            <w:r>
              <w:rPr>
                <w:b/>
                <w:bCs/>
                <w:sz w:val="17"/>
                <w:szCs w:val="17"/>
              </w:rPr>
              <w:t xml:space="preserve">RVM network</w:t>
            </w:r>
          </w:p>
        </w:tc>
        <w:tc>
          <w:tcPr>
            <w:tcW w:type="dxa" w:w="2912"/>
            <w:shd w:fill="FFFFFF" w:val="clear"/>
            <w:tcMar>
              <w:top w:type="dxa" w:w="80"/>
              <w:left w:type="dxa" w:w="100"/>
              <w:bottom w:type="dxa" w:w="80"/>
              <w:right w:type="dxa" w:w="100"/>
            </w:tcMar>
          </w:tcPr>
          <w:p>
            <w:pPr>
              <w:spacing w:after="0" w:line="240"/>
            </w:pPr>
            <w:r>
              <w:rPr>
                <w:b/>
                <w:bCs/>
                <w:sz w:val="17"/>
                <w:szCs w:val="17"/>
              </w:rPr>
              <w:t xml:space="preserve">3,500 reverse vending machines</w:t>
            </w:r>
          </w:p>
        </w:tc>
        <w:tc>
          <w:tcPr>
            <w:tcW w:type="dxa" w:w="2914"/>
            <w:shd w:fill="FFFFFF" w:val="clear"/>
            <w:tcMar>
              <w:top w:type="dxa" w:w="80"/>
              <w:left w:type="dxa" w:w="100"/>
              <w:bottom w:type="dxa" w:w="80"/>
              <w:right w:type="dxa" w:w="100"/>
            </w:tcMar>
          </w:tcPr>
          <w:p>
            <w:pPr>
              <w:spacing w:after="0" w:line="240"/>
            </w:pPr>
            <w:r>
              <w:rPr>
                <w:sz w:val="17"/>
                <w:szCs w:val="17"/>
              </w:rPr>
              <w:t xml:space="preserve">Automated, compacting, multi-material; the system's backbone (~39% of points)</w:t>
            </w:r>
          </w:p>
        </w:tc>
      </w:tr>
      <w:tr>
        <w:tc>
          <w:tcPr>
            <w:tcW w:type="dxa" w:w="2912"/>
            <w:shd w:fill="F5F1E8" w:val="clear"/>
            <w:tcMar>
              <w:top w:type="dxa" w:w="80"/>
              <w:left w:type="dxa" w:w="100"/>
              <w:bottom w:type="dxa" w:w="80"/>
              <w:right w:type="dxa" w:w="100"/>
            </w:tcMar>
          </w:tcPr>
          <w:p>
            <w:pPr>
              <w:spacing w:after="0" w:line="240"/>
            </w:pPr>
            <w:r>
              <w:rPr>
                <w:sz w:val="17"/>
                <w:szCs w:val="17"/>
              </w:rPr>
              <w:t xml:space="preserve">Manual return points</w:t>
            </w:r>
          </w:p>
        </w:tc>
        <w:tc>
          <w:tcPr>
            <w:tcW w:type="dxa" w:w="2912"/>
            <w:shd w:fill="F5F1E8" w:val="clear"/>
            <w:tcMar>
              <w:top w:type="dxa" w:w="80"/>
              <w:left w:type="dxa" w:w="100"/>
              <w:bottom w:type="dxa" w:w="80"/>
              <w:right w:type="dxa" w:w="100"/>
            </w:tcMar>
          </w:tcPr>
          <w:p>
            <w:pPr>
              <w:spacing w:after="0" w:line="240"/>
            </w:pPr>
            <w:r>
              <w:rPr>
                <w:sz w:val="17"/>
                <w:szCs w:val="17"/>
              </w:rPr>
              <w:t xml:space="preserve">~5,500</w:t>
            </w:r>
          </w:p>
        </w:tc>
        <w:tc>
          <w:tcPr>
            <w:tcW w:type="dxa" w:w="2914"/>
            <w:shd w:fill="F5F1E8" w:val="clear"/>
            <w:tcMar>
              <w:top w:type="dxa" w:w="80"/>
              <w:left w:type="dxa" w:w="100"/>
              <w:bottom w:type="dxa" w:w="80"/>
              <w:right w:type="dxa" w:w="100"/>
            </w:tcMar>
          </w:tcPr>
          <w:p>
            <w:pPr>
              <w:spacing w:after="0" w:line="240"/>
            </w:pPr>
            <w:r>
              <w:rPr>
                <w:sz w:val="17"/>
                <w:szCs w:val="17"/>
              </w:rPr>
              <w:t xml:space="preserve">Small-format retail, HoReCa, community points (Latvia manual-point model: ~15-30 min staff time/day)</w:t>
            </w:r>
          </w:p>
        </w:tc>
      </w:tr>
      <w:tr>
        <w:tc>
          <w:tcPr>
            <w:tcW w:type="dxa" w:w="2912"/>
            <w:shd w:fill="FFFFFF" w:val="clear"/>
            <w:tcMar>
              <w:top w:type="dxa" w:w="80"/>
              <w:left w:type="dxa" w:w="100"/>
              <w:bottom w:type="dxa" w:w="80"/>
              <w:right w:type="dxa" w:w="100"/>
            </w:tcMar>
          </w:tcPr>
          <w:p>
            <w:pPr>
              <w:spacing w:after="0" w:line="240"/>
            </w:pPr>
            <w:r>
              <w:rPr>
                <w:sz w:val="17"/>
                <w:szCs w:val="17"/>
              </w:rPr>
              <w:t xml:space="preserve">Bulk/hybrid add-ons</w:t>
            </w:r>
          </w:p>
        </w:tc>
        <w:tc>
          <w:tcPr>
            <w:tcW w:type="dxa" w:w="2912"/>
            <w:shd w:fill="FFFFFF" w:val="clear"/>
            <w:tcMar>
              <w:top w:type="dxa" w:w="80"/>
              <w:left w:type="dxa" w:w="100"/>
              <w:bottom w:type="dxa" w:w="80"/>
              <w:right w:type="dxa" w:w="100"/>
            </w:tcMar>
          </w:tcPr>
          <w:p>
            <w:pPr>
              <w:spacing w:after="0" w:line="240"/>
            </w:pPr>
            <w:r>
              <w:rPr>
                <w:sz w:val="17"/>
                <w:szCs w:val="17"/>
              </w:rPr>
              <w:t xml:space="preserve">Phased</w:t>
            </w:r>
          </w:p>
        </w:tc>
        <w:tc>
          <w:tcPr>
            <w:tcW w:type="dxa" w:w="2914"/>
            <w:shd w:fill="FFFFFF" w:val="clear"/>
            <w:tcMar>
              <w:top w:type="dxa" w:w="80"/>
              <w:left w:type="dxa" w:w="100"/>
              <w:bottom w:type="dxa" w:w="80"/>
              <w:right w:type="dxa" w:w="100"/>
            </w:tcMar>
          </w:tcPr>
          <w:p>
            <w:pPr>
              <w:spacing w:after="0" w:line="240"/>
            </w:pPr>
            <w:r>
              <w:rPr>
                <w:sz w:val="17"/>
                <w:szCs w:val="17"/>
              </w:rPr>
              <w:t xml:space="preserve">Bulk stations, event/beach units, HoReCa pick-up, e-commerce collection</w:t>
            </w:r>
          </w:p>
        </w:tc>
      </w:tr>
    </w:tbl>
    <w:p>
      <w:pPr>
        <w:spacing w:after="200"/>
      </w:pPr>
      <w:r>
        <w:rPr>
          <w:sz w:val="8"/>
          <w:szCs w:val="8"/>
        </w:rPr>
        <w:t xml:space="preserve"/>
      </w:r>
    </w:p>
    <w:p>
      <w:pPr>
        <w:spacing w:after="160" w:line="300"/>
        <w:jc w:val="both"/>
      </w:pPr>
      <w:r>
        <w:t xml:space="preserve">The 3,500-machine figure is anchored in the MDPI 2023 UAE study ("3,500+ RVMs"), cross-checked against Hungary's ~3,200 people/RVM at launch, at an installed unit cost of </w:t>
      </w:r>
      <w:r>
        <w:rPr>
          <w:b/>
          <w:bCs/>
        </w:rPr>
        <w:t xml:space="preserve">AED 110,000</w:t>
      </w:r>
      <w:r>
        <w:t xml:space="preserve"> - within the international range of US$10-25k for standard multi-material compacting units and Ireland's €15-30k retailer-reported actuals (Market Growth Reports, 2026; Oireachtas, 2026). Gulf-specific installation (shading, outdoor rating, power, connectivity) is priced in.</w:t>
      </w:r>
    </w:p>
    <w:p>
      <w:pPr>
        <w:pStyle w:val="Heading3"/>
        <w:keepNext/>
        <w:spacing w:after="110" w:before="260"/>
      </w:pPr>
      <w:r>
        <w:rPr>
          <w:rFonts w:ascii="Calibri" w:cs="Calibri" w:eastAsia="Calibri" w:hAnsi="Calibri"/>
          <w:b/>
          <w:bCs/>
          <w:color w:val="4A6580"/>
          <w:sz w:val="24"/>
          <w:szCs w:val="24"/>
        </w:rPr>
        <w:t xml:space="preserve">6.3.2 Placement strategy</w:t>
      </w:r>
    </w:p>
    <w:p>
      <w:pPr>
        <w:spacing w:after="160" w:line="300"/>
        <w:jc w:val="both"/>
      </w:pPr>
      <w:r>
        <w:t xml:space="preserve">Placement follows footfall and convenience, in line with the Project Description's infrastructure commitments: </w:t>
      </w:r>
      <w:r>
        <w:rPr>
          <w:b/>
          <w:bCs/>
        </w:rPr>
        <w:t xml:space="preserve">shopping centres and malls, supermarkets and hypermarkets, petrol stations (ADNOC forecourts), and public locations</w:t>
      </w:r>
      <w:r>
        <w:t xml:space="preserve"> - metro and airport transit hubs, universities, event venues. UAE retail groundwork already exists: Carrefour/Majid Al Futtaim operates RVM partnerships with Coca-Cola Middle East and Sparklo; LuLu has piloted 14 Sparklo RVMs in Dubai and Abu Dhabi; Choithrams runs a bottle-return loyalty campaign; and Abu Dhabi's EAD scheme has 100+ Sparklomat RVMs in service (Majid Al Futtaim, 2025; Sparklo, 2023; Abu Dhabi Media Office, 2025). The mandatory DRS converts these voluntary beachheads into a universal obligation.</w:t>
      </w:r>
    </w:p>
    <w:p>
      <w:pPr>
        <w:spacing w:after="160" w:line="300"/>
        <w:jc w:val="both"/>
      </w:pPr>
      <w:r>
        <w:t xml:space="preserve">Retailer obligations follow the European threshold model: take-back duty tied to shop-floor area, with exemptions for the smallest formats (Lithuania exempts ≤300 m² urban / ≤60 m² rural; Hungary mandates RVM hosting above 400 m²; Malta above 150 m²) (Reloop, 2024). Retailers are compensated through a </w:t>
      </w:r>
      <w:r>
        <w:rPr>
          <w:b/>
          <w:bCs/>
        </w:rPr>
        <w:t xml:space="preserve">retailer handling fee (RHF)</w:t>
      </w:r>
      <w:r>
        <w:t xml:space="preserve"> on a cost-only basis - recommended at </w:t>
      </w:r>
      <w:r>
        <w:rPr>
          <w:b/>
          <w:bCs/>
        </w:rPr>
        <w:t xml:space="preserve">AED 0.10 per container</w:t>
      </w:r>
      <w:r>
        <w:t xml:space="preserve">, bracketed by Ireland's €0.022-0.026 (= AED 0.088-0.104) and Lithuania's range up to €0.049 (Container Recycling Institute, 2024; Reloop, 2024). The fee formula should follow Finland's bottom-up methodology: space, labour, RVM investment and service, and consumables (Reloop/Eunomia, 2024). Hungary's friction with retail partners over under-compensation (Budapest Business Journal, 2025) is the cautionary lesson: set the RHF transparently, on a published cost methodology, from day one.</w:t>
      </w:r>
    </w:p>
    <w:p>
      <w:pPr>
        <w:pBdr>
          <w:left w:val="single" w:color="C9A227" w:sz="18"/>
        </w:pBdr>
        <w:shd w:fill="F5F1E8" w:val="clear"/>
        <w:spacing w:after="100" w:before="60" w:line="280"/>
        <w:ind w:left="260" w:right="260"/>
      </w:pPr>
      <w:r>
        <w:rPr>
          <w:color w:val="1B2A4A"/>
          <w:sz w:val="20"/>
          <w:szCs w:val="20"/>
        </w:rPr>
        <w:t xml:space="preserve">Over €300M in additional consumer revenue passes through retail for every 3 billion packages returned at a €0.10 deposit - returned deposits are re-spent where they are refunded (Earth Care Consulting, 2025). At AED 0.25 on ~3.4 bn returned units at maturity, the equivalent UAE retail footfall effect is roughly </w:t>
      </w:r>
      <w:r>
        <w:rPr>
          <w:b/>
          <w:bCs/>
          <w:color w:val="1B2A4A"/>
          <w:sz w:val="20"/>
          <w:szCs w:val="20"/>
        </w:rPr>
        <w:t xml:space="preserve">AED 850M per year</w:t>
      </w:r>
      <w:r>
        <w:rPr>
          <w:color w:val="1B2A4A"/>
          <w:sz w:val="20"/>
          <w:szCs w:val="20"/>
        </w:rPr>
        <w:t xml:space="preserve"> flowing back through return-point locations.</w:t>
      </w:r>
    </w:p>
    <w:p>
      <w:pPr>
        <w:spacing w:after="120"/>
      </w:pPr>
      <w:r>
        <w:rPr>
          <w:sz w:val="8"/>
          <w:szCs w:val="8"/>
        </w:rPr>
        <w:t xml:space="preserve"/>
      </w:r>
    </w:p>
    <w:p>
      <w:pPr>
        <w:spacing w:after="40" w:before="200"/>
        <w:jc w:val="center"/>
      </w:pPr>
      <w:r>
        <w:drawing>
          <wp:inline distT="0" distB="0" distL="0" distR="0">
            <wp:extent cx="5524500" cy="3562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5524500" cy="3562350"/>
                    </a:xfrm>
                    <a:prstGeom prst="rect">
                      <a:avLst/>
                    </a:prstGeom>
                  </pic:spPr>
                </pic:pic>
              </a:graphicData>
            </a:graphic>
          </wp:inline>
        </w:drawing>
      </w:r>
    </w:p>
    <w:p>
      <w:pPr>
        <w:spacing w:after="240" w:before="40"/>
        <w:jc w:val="center"/>
      </w:pPr>
      <w:r>
        <w:rPr>
          <w:rFonts w:ascii="Calibri" w:cs="Calibri" w:eastAsia="Calibri" w:hAnsi="Calibri"/>
          <w:i/>
          <w:iCs/>
          <w:color w:val="4A6580"/>
          <w:sz w:val="17"/>
          <w:szCs w:val="17"/>
        </w:rPr>
        <w:t xml:space="preserve">Network density - people per return point across benchmark systems vs the UAE target of ~1,250.</w:t>
      </w:r>
    </w:p>
    <w:p>
      <w:pPr>
        <w:pStyle w:val="Heading2"/>
        <w:keepNext/>
        <w:spacing w:after="140" w:before="340"/>
      </w:pPr>
      <w:r>
        <w:rPr>
          <w:rFonts w:ascii="Georgia" w:cs="Georgia" w:eastAsia="Georgia" w:hAnsi="Georgia"/>
          <w:b/>
          <w:bCs/>
          <w:color w:val="1B2A4A"/>
          <w:sz w:val="30"/>
          <w:szCs w:val="30"/>
        </w:rPr>
        <w:t xml:space="preserve">6.4 Logistics, counting and sorting</w:t>
      </w:r>
    </w:p>
    <w:p>
      <w:pPr>
        <w:pStyle w:val="Heading3"/>
        <w:keepNext/>
        <w:spacing w:after="110" w:before="260"/>
      </w:pPr>
      <w:r>
        <w:rPr>
          <w:rFonts w:ascii="Calibri" w:cs="Calibri" w:eastAsia="Calibri" w:hAnsi="Calibri"/>
          <w:b/>
          <w:bCs/>
          <w:color w:val="4A6580"/>
          <w:sz w:val="24"/>
          <w:szCs w:val="24"/>
        </w:rPr>
        <w:t xml:space="preserve">6.4.1 Three regional counting &amp; sorting centres</w:t>
      </w:r>
    </w:p>
    <w:p>
      <w:pPr>
        <w:spacing w:after="160" w:line="300"/>
        <w:jc w:val="both"/>
      </w:pPr>
      <w:r>
        <w:t xml:space="preserve">Material flows from return points to </w:t>
      </w:r>
      <w:r>
        <w:rPr>
          <w:b/>
          <w:bCs/>
        </w:rPr>
        <w:t xml:space="preserve">three regional counting and sorting centres - Dubai, Abu Dhabi, and Sharjah/Northern Emirates</w:t>
      </w:r>
      <w:r>
        <w:t xml:space="preserve"> - at a combined capital cost of </w:t>
      </w:r>
      <w:r>
        <w:rPr>
          <w:b/>
          <w:bCs/>
        </w:rPr>
        <w:t xml:space="preserve">AED 108M</w:t>
      </w:r>
      <w:r>
        <w:t xml:space="preserve"> (AED 36M each). The per-centre benchmark is Romania's RetuRO: ~€8-9M average capex per regional centre of 6,000-8,000 m², with individual centres counting 280-650M packages/yr and sorting &gt;1.2 bn/yr (Green-Forum, 2024). Three centres for a ~3.5-4 bn-unit UAE system scales directly from RetuRO's seven centres for ~7 bn units.</w:t>
      </w:r>
    </w:p>
    <w:p>
      <w:pPr>
        <w:pStyle w:val="Heading3"/>
        <w:keepNext/>
        <w:spacing w:after="110" w:before="260"/>
      </w:pPr>
      <w:r>
        <w:rPr>
          <w:rFonts w:ascii="Calibri" w:cs="Calibri" w:eastAsia="Calibri" w:hAnsi="Calibri"/>
          <w:b/>
          <w:bCs/>
          <w:color w:val="4A6580"/>
          <w:sz w:val="24"/>
          <w:szCs w:val="24"/>
        </w:rPr>
        <w:t xml:space="preserve">6.4.2 Backhaul-first logistics</w:t>
      </w:r>
    </w:p>
    <w:p>
      <w:pPr>
        <w:spacing w:after="160" w:line="300"/>
        <w:jc w:val="both"/>
      </w:pPr>
      <w:r>
        <w:t xml:space="preserve">Logistics design follows the </w:t>
      </w:r>
      <w:r>
        <w:rPr>
          <w:b/>
          <w:bCs/>
        </w:rPr>
        <w:t xml:space="preserve">Lithuanian backhaul model</w:t>
      </w:r>
      <w:r>
        <w:t xml:space="preserve">: delivery trucks returning from stores carry compacted empties, with counting centres co-located where possible with major retail central warehouses - the design that let USAD credit its system with near-zero additional transport and 152,400 t of avoided CO₂ (USAD, 2019). A backhaul-first architecture is what keeps the dedicated fleet modest (</w:t>
      </w:r>
      <w:r>
        <w:rPr>
          <w:b/>
          <w:bCs/>
        </w:rPr>
        <w:t xml:space="preserve">AED 40M vehicles &amp; logistics capex</w:t>
      </w:r>
      <w:r>
        <w:t xml:space="preserve">) for a national system. Romania's scale - &gt;1,000 collection runs per day - indicates the orchestration intensity the central platform must handle (Green News/Agerpres, 2024).</w:t>
      </w:r>
    </w:p>
    <w:p>
      <w:pPr>
        <w:pStyle w:val="Heading3"/>
        <w:keepNext/>
        <w:spacing w:after="110" w:before="260"/>
      </w:pPr>
      <w:r>
        <w:rPr>
          <w:rFonts w:ascii="Calibri" w:cs="Calibri" w:eastAsia="Calibri" w:hAnsi="Calibri"/>
          <w:b/>
          <w:bCs/>
          <w:color w:val="4A6580"/>
          <w:sz w:val="24"/>
          <w:szCs w:val="24"/>
        </w:rPr>
        <w:t xml:space="preserve">6.4.3 EAN-level traceability</w:t>
      </w:r>
    </w:p>
    <w:p>
      <w:pPr>
        <w:spacing w:after="160" w:line="300"/>
        <w:jc w:val="both"/>
      </w:pPr>
      <w:r>
        <w:t xml:space="preserve">Every container is reconciled </w:t>
      </w:r>
      <w:r>
        <w:rPr>
          <w:b/>
          <w:bCs/>
        </w:rPr>
        <w:t xml:space="preserve">twice</w:t>
      </w:r>
      <w:r>
        <w:t xml:space="preserve">: at the RVM (barcode read, deposit refunded, container compacted - compaction at the point of return destroys re-redemption value, the core anti-fraud control) and again at the counting centre (EAN-level verification before producer-fee and material-revenue settlement). This dual reconciliation, run against the central registration database, is the standard fraud architecture across Romania, Slovakia, Ireland and Estonia (Reloop, 2024). Only registered SKUs are redeemable; deposit payments by producers are matched monthly against placed-on-market volumes (the Hungary MOHU model; Grant Thornton, 2025).</w:t>
      </w:r>
    </w:p>
    <w:p>
      <w:pPr>
        <w:pStyle w:val="Heading2"/>
        <w:keepNext/>
        <w:spacing w:after="140" w:before="340"/>
      </w:pPr>
      <w:r>
        <w:rPr>
          <w:rFonts w:ascii="Georgia" w:cs="Georgia" w:eastAsia="Georgia" w:hAnsi="Georgia"/>
          <w:b/>
          <w:bCs/>
          <w:color w:val="1B2A4A"/>
          <w:sz w:val="30"/>
          <w:szCs w:val="30"/>
        </w:rPr>
        <w:t xml:space="preserve">6.5 Recycling and material offtake</w:t>
      </w:r>
    </w:p>
    <w:p>
      <w:pPr>
        <w:spacing w:after="160" w:line="300"/>
        <w:jc w:val="both"/>
      </w:pPr>
      <w:r>
        <w:t xml:space="preserve">A DRS's economic engine is the quality of its output: DRS-collected PET bales command a </w:t>
      </w:r>
      <w:r>
        <w:rPr>
          <w:b/>
          <w:bCs/>
        </w:rPr>
        <w:t xml:space="preserve">15-25% premium over curbside MRF bales</w:t>
      </w:r>
      <w:r>
        <w:t xml:space="preserve"> because of purity (Polyestertime, 2026) - the same "very pure, not contaminated" stream that Lithuanian operators report attracts competing bids from top European recyclers (USAD, 2019). The UAE offtake architecture maps each stream to a named domestic or export route:</w:t>
      </w:r>
    </w:p>
    <w:p>
      <w:pPr>
        <w:spacing w:after="40" w:before="200"/>
        <w:jc w:val="center"/>
      </w:pPr>
      <w:r>
        <w:drawing>
          <wp:inline distT="0" distB="0" distL="0" distR="0">
            <wp:extent cx="2857500" cy="3810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2857500" cy="3810000"/>
                    </a:xfrm>
                    <a:prstGeom prst="rect">
                      <a:avLst/>
                    </a:prstGeom>
                  </pic:spPr>
                </pic:pic>
              </a:graphicData>
            </a:graphic>
          </wp:inline>
        </w:drawing>
      </w:r>
    </w:p>
    <w:p>
      <w:pPr>
        <w:spacing w:after="240" w:before="40"/>
        <w:jc w:val="center"/>
      </w:pPr>
      <w:r>
        <w:rPr>
          <w:rFonts w:ascii="Calibri" w:cs="Calibri" w:eastAsia="Calibri" w:hAnsi="Calibri"/>
          <w:i/>
          <w:iCs/>
          <w:color w:val="4A6580"/>
          <w:sz w:val="17"/>
          <w:szCs w:val="17"/>
        </w:rPr>
        <w:t xml:space="preserve">Sorting at industrial scale - optical separation line, European benchmark DRS operator facility, 2026.</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2184"/>
        <w:gridCol w:w="2184"/>
        <w:gridCol w:w="2184"/>
        <w:gridCol w:w="2186"/>
      </w:tblGrid>
      <w:tr>
        <w:trPr>
          <w:tblHeader/>
        </w:trPr>
        <w:tc>
          <w:tcPr>
            <w:tcW w:type="dxa" w:w="218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Stream</w:t>
            </w:r>
          </w:p>
        </w:tc>
        <w:tc>
          <w:tcPr>
            <w:tcW w:type="dxa" w:w="218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Volume at 90% redemption (base case)</w:t>
            </w:r>
          </w:p>
        </w:tc>
        <w:tc>
          <w:tcPr>
            <w:tcW w:type="dxa" w:w="218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Offtake route</w:t>
            </w:r>
          </w:p>
        </w:tc>
        <w:tc>
          <w:tcPr>
            <w:tcW w:type="dxa" w:w="2186"/>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Value basis</w:t>
            </w:r>
          </w:p>
        </w:tc>
      </w:tr>
      <w:tr>
        <w:tc>
          <w:tcPr>
            <w:tcW w:type="dxa" w:w="2184"/>
            <w:shd w:fill="FFFFFF" w:val="clear"/>
            <w:tcMar>
              <w:top w:type="dxa" w:w="80"/>
              <w:left w:type="dxa" w:w="100"/>
              <w:bottom w:type="dxa" w:w="80"/>
              <w:right w:type="dxa" w:w="100"/>
            </w:tcMar>
          </w:tcPr>
          <w:p>
            <w:pPr>
              <w:spacing w:after="0" w:line="240"/>
            </w:pPr>
            <w:r>
              <w:rPr>
                <w:b/>
                <w:bCs/>
                <w:sz w:val="17"/>
                <w:szCs w:val="17"/>
              </w:rPr>
              <w:t xml:space="preserve">PET</w:t>
            </w:r>
          </w:p>
        </w:tc>
        <w:tc>
          <w:tcPr>
            <w:tcW w:type="dxa" w:w="2184"/>
            <w:shd w:fill="FFFFFF" w:val="clear"/>
            <w:tcMar>
              <w:top w:type="dxa" w:w="80"/>
              <w:left w:type="dxa" w:w="100"/>
              <w:bottom w:type="dxa" w:w="80"/>
              <w:right w:type="dxa" w:w="100"/>
            </w:tcMar>
          </w:tcPr>
          <w:p>
            <w:pPr>
              <w:spacing w:after="0" w:line="240"/>
            </w:pPr>
            <w:r>
              <w:rPr>
                <w:sz w:val="17"/>
                <w:szCs w:val="17"/>
              </w:rPr>
              <w:t xml:space="preserve">~2.6 bn units/yr (~52 kt)</w:t>
            </w:r>
          </w:p>
        </w:tc>
        <w:tc>
          <w:tcPr>
            <w:tcW w:type="dxa" w:w="2184"/>
            <w:shd w:fill="FFFFFF" w:val="clear"/>
            <w:tcMar>
              <w:top w:type="dxa" w:w="80"/>
              <w:left w:type="dxa" w:w="100"/>
              <w:bottom w:type="dxa" w:w="80"/>
              <w:right w:type="dxa" w:w="100"/>
            </w:tcMar>
          </w:tcPr>
          <w:p>
            <w:pPr>
              <w:spacing w:after="0" w:line="240"/>
            </w:pPr>
            <w:r>
              <w:rPr>
                <w:b/>
                <w:bCs/>
                <w:sz w:val="17"/>
                <w:szCs w:val="17"/>
              </w:rPr>
              <w:t xml:space="preserve">Repeet</w:t>
            </w:r>
            <w:r>
              <w:rPr>
                <w:sz w:val="17"/>
                <w:szCs w:val="17"/>
              </w:rPr>
              <w:t xml:space="preserve"> food-grade rPET plant, Abu Dhabi (12,000 t/yr; BEEAH feedstock, Agthia offtake) + </w:t>
            </w:r>
            <w:r>
              <w:rPr>
                <w:b/>
                <w:bCs/>
                <w:sz w:val="17"/>
                <w:szCs w:val="17"/>
              </w:rPr>
              <w:t xml:space="preserve">DGrade</w:t>
            </w:r>
            <w:r>
              <w:rPr>
                <w:sz w:val="17"/>
                <w:szCs w:val="17"/>
              </w:rPr>
              <w:t xml:space="preserve"> KIZAD bottle-to-fibre plant (up to ~1 bn bottles/yr)</w:t>
            </w:r>
          </w:p>
        </w:tc>
        <w:tc>
          <w:tcPr>
            <w:tcW w:type="dxa" w:w="2186"/>
            <w:shd w:fill="FFFFFF" w:val="clear"/>
            <w:tcMar>
              <w:top w:type="dxa" w:w="80"/>
              <w:left w:type="dxa" w:w="100"/>
              <w:bottom w:type="dxa" w:w="80"/>
              <w:right w:type="dxa" w:w="100"/>
            </w:tcMar>
          </w:tcPr>
          <w:p>
            <w:pPr>
              <w:spacing w:after="0" w:line="240"/>
            </w:pPr>
            <w:r>
              <w:rPr>
                <w:sz w:val="17"/>
                <w:szCs w:val="17"/>
              </w:rPr>
              <w:t xml:space="preserve">rPET base </w:t>
            </w:r>
            <w:r>
              <w:rPr>
                <w:b/>
                <w:bCs/>
                <w:sz w:val="17"/>
                <w:szCs w:val="17"/>
              </w:rPr>
              <w:t xml:space="preserve">US$1,200/t</w:t>
            </w:r>
            <w:r>
              <w:rPr>
                <w:sz w:val="17"/>
                <w:szCs w:val="17"/>
              </w:rPr>
              <w:t xml:space="preserve"> (range $1,100-2,100, 2024-26)</w:t>
            </w:r>
          </w:p>
        </w:tc>
      </w:tr>
      <w:tr>
        <w:tc>
          <w:tcPr>
            <w:tcW w:type="dxa" w:w="2184"/>
            <w:shd w:fill="F5F1E8" w:val="clear"/>
            <w:tcMar>
              <w:top w:type="dxa" w:w="80"/>
              <w:left w:type="dxa" w:w="100"/>
              <w:bottom w:type="dxa" w:w="80"/>
              <w:right w:type="dxa" w:w="100"/>
            </w:tcMar>
          </w:tcPr>
          <w:p>
            <w:pPr>
              <w:spacing w:after="0" w:line="240"/>
            </w:pPr>
            <w:r>
              <w:rPr>
                <w:b/>
                <w:bCs/>
                <w:sz w:val="17"/>
                <w:szCs w:val="17"/>
              </w:rPr>
              <w:t xml:space="preserve">Aluminium cans</w:t>
            </w:r>
          </w:p>
        </w:tc>
        <w:tc>
          <w:tcPr>
            <w:tcW w:type="dxa" w:w="2184"/>
            <w:shd w:fill="F5F1E8" w:val="clear"/>
            <w:tcMar>
              <w:top w:type="dxa" w:w="80"/>
              <w:left w:type="dxa" w:w="100"/>
              <w:bottom w:type="dxa" w:w="80"/>
              <w:right w:type="dxa" w:w="100"/>
            </w:tcMar>
          </w:tcPr>
          <w:p>
            <w:pPr>
              <w:spacing w:after="0" w:line="240"/>
            </w:pPr>
            <w:r>
              <w:rPr>
                <w:sz w:val="17"/>
                <w:szCs w:val="17"/>
              </w:rPr>
              <w:t xml:space="preserve">~594 m units/yr (~8 kt)</w:t>
            </w:r>
          </w:p>
        </w:tc>
        <w:tc>
          <w:tcPr>
            <w:tcW w:type="dxa" w:w="2184"/>
            <w:shd w:fill="F5F1E8" w:val="clear"/>
            <w:tcMar>
              <w:top w:type="dxa" w:w="80"/>
              <w:left w:type="dxa" w:w="100"/>
              <w:bottom w:type="dxa" w:w="80"/>
              <w:right w:type="dxa" w:w="100"/>
            </w:tcMar>
          </w:tcPr>
          <w:p>
            <w:pPr>
              <w:spacing w:after="0" w:line="240"/>
            </w:pPr>
            <w:r>
              <w:rPr>
                <w:b/>
                <w:bCs/>
                <w:sz w:val="17"/>
                <w:szCs w:val="17"/>
              </w:rPr>
              <w:t xml:space="preserve">EGA Al Taweelah</w:t>
            </w:r>
            <w:r>
              <w:rPr>
                <w:sz w:val="17"/>
                <w:szCs w:val="17"/>
              </w:rPr>
              <w:t xml:space="preserve"> recycling plant - the UAE's largest, 185,000 t/yr capacity with scrap sorting up to 150,000 t/yr, in production from 2026</w:t>
            </w:r>
          </w:p>
        </w:tc>
        <w:tc>
          <w:tcPr>
            <w:tcW w:type="dxa" w:w="2186"/>
            <w:shd w:fill="F5F1E8" w:val="clear"/>
            <w:tcMar>
              <w:top w:type="dxa" w:w="80"/>
              <w:left w:type="dxa" w:w="100"/>
              <w:bottom w:type="dxa" w:w="80"/>
              <w:right w:type="dxa" w:w="100"/>
            </w:tcMar>
          </w:tcPr>
          <w:p>
            <w:pPr>
              <w:spacing w:after="0" w:line="240"/>
            </w:pPr>
            <w:r>
              <w:rPr>
                <w:sz w:val="17"/>
                <w:szCs w:val="17"/>
              </w:rPr>
              <w:t xml:space="preserve">UBC base </w:t>
            </w:r>
            <w:r>
              <w:rPr>
                <w:b/>
                <w:bCs/>
                <w:sz w:val="17"/>
                <w:szCs w:val="17"/>
              </w:rPr>
              <w:t xml:space="preserve">US$1,800/t</w:t>
            </w:r>
            <w:r>
              <w:rPr>
                <w:sz w:val="17"/>
                <w:szCs w:val="17"/>
              </w:rPr>
              <w:t xml:space="preserve"> (range $1,200-2,050)</w:t>
            </w:r>
          </w:p>
        </w:tc>
      </w:tr>
      <w:tr>
        <w:tc>
          <w:tcPr>
            <w:tcW w:type="dxa" w:w="2184"/>
            <w:shd w:fill="FFFFFF" w:val="clear"/>
            <w:tcMar>
              <w:top w:type="dxa" w:w="80"/>
              <w:left w:type="dxa" w:w="100"/>
              <w:bottom w:type="dxa" w:w="80"/>
              <w:right w:type="dxa" w:w="100"/>
            </w:tcMar>
          </w:tcPr>
          <w:p>
            <w:pPr>
              <w:spacing w:after="0" w:line="240"/>
            </w:pPr>
            <w:r>
              <w:rPr>
                <w:b/>
                <w:bCs/>
                <w:sz w:val="17"/>
                <w:szCs w:val="17"/>
              </w:rPr>
              <w:t xml:space="preserve">Glass</w:t>
            </w:r>
          </w:p>
        </w:tc>
        <w:tc>
          <w:tcPr>
            <w:tcW w:type="dxa" w:w="2184"/>
            <w:shd w:fill="FFFFFF" w:val="clear"/>
            <w:tcMar>
              <w:top w:type="dxa" w:w="80"/>
              <w:left w:type="dxa" w:w="100"/>
              <w:bottom w:type="dxa" w:w="80"/>
              <w:right w:type="dxa" w:w="100"/>
            </w:tcMar>
          </w:tcPr>
          <w:p>
            <w:pPr>
              <w:spacing w:after="0" w:line="240"/>
            </w:pPr>
            <w:r>
              <w:rPr>
                <w:sz w:val="17"/>
                <w:szCs w:val="17"/>
              </w:rPr>
              <w:t xml:space="preserve">~162 m units/yr (~32 kt)</w:t>
            </w:r>
          </w:p>
        </w:tc>
        <w:tc>
          <w:tcPr>
            <w:tcW w:type="dxa" w:w="2184"/>
            <w:shd w:fill="FFFFFF" w:val="clear"/>
            <w:tcMar>
              <w:top w:type="dxa" w:w="80"/>
              <w:left w:type="dxa" w:w="100"/>
              <w:bottom w:type="dxa" w:w="80"/>
              <w:right w:type="dxa" w:w="100"/>
            </w:tcMar>
          </w:tcPr>
          <w:p>
            <w:pPr>
              <w:spacing w:after="0" w:line="240"/>
            </w:pPr>
            <w:r>
              <w:rPr>
                <w:sz w:val="17"/>
                <w:szCs w:val="17"/>
              </w:rPr>
              <w:t xml:space="preserve">Aggregation and export/downcycling - </w:t>
            </w:r>
            <w:r>
              <w:rPr>
                <w:b/>
                <w:bCs/>
                <w:sz w:val="17"/>
                <w:szCs w:val="17"/>
              </w:rPr>
              <w:t xml:space="preserve">no UAE container-glass furnace takes high cullet intake</w:t>
            </w:r>
          </w:p>
        </w:tc>
        <w:tc>
          <w:tcPr>
            <w:tcW w:type="dxa" w:w="2186"/>
            <w:shd w:fill="FFFFFF" w:val="clear"/>
            <w:tcMar>
              <w:top w:type="dxa" w:w="80"/>
              <w:left w:type="dxa" w:w="100"/>
              <w:bottom w:type="dxa" w:w="80"/>
              <w:right w:type="dxa" w:w="100"/>
            </w:tcMar>
          </w:tcPr>
          <w:p>
            <w:pPr>
              <w:spacing w:after="0" w:line="240"/>
            </w:pPr>
            <w:r>
              <w:rPr>
                <w:sz w:val="17"/>
                <w:szCs w:val="17"/>
              </w:rPr>
              <w:t xml:space="preserve">Cullet </w:t>
            </w:r>
            <w:r>
              <w:rPr>
                <w:b/>
                <w:bCs/>
                <w:sz w:val="17"/>
                <w:szCs w:val="17"/>
              </w:rPr>
              <w:t xml:space="preserve">AED 440/t</w:t>
            </w:r>
            <w:r>
              <w:rPr>
                <w:sz w:val="17"/>
                <w:szCs w:val="17"/>
              </w:rPr>
              <w:t xml:space="preserve"> (EU €100-150/t equivalent)</w:t>
            </w:r>
          </w:p>
        </w:tc>
      </w:tr>
    </w:tbl>
    <w:p>
      <w:pPr>
        <w:spacing w:after="200"/>
      </w:pPr>
      <w:r>
        <w:rPr>
          <w:sz w:val="8"/>
          <w:szCs w:val="8"/>
        </w:rPr>
        <w:t xml:space="preserve"/>
      </w:r>
    </w:p>
    <w:p>
      <w:pPr>
        <w:spacing w:after="160" w:line="300"/>
        <w:jc w:val="both"/>
      </w:pPr>
      <w:r>
        <w:t xml:space="preserve">Two honest caveats. First, </w:t>
      </w:r>
      <w:r>
        <w:rPr>
          <w:b/>
          <w:bCs/>
        </w:rPr>
        <w:t xml:space="preserve">domestic PET capacity is the binding constraint</w:t>
      </w:r>
      <w:r>
        <w:t xml:space="preserve">: existing bottle-to-fibre (DGrade, ~1 bn bottles/yr maximum) plus announced food-grade capacity (Repeet, 12 kt/yr - commissioning status unverified [DATA GAP: Repeet plant commissioning/operational status as of mid-2026]) fall well short of the ~52 kt/yr DRS stream; the system's success case requires additional food-grade rPET investment, which the DRS's guaranteed clean feedstock is designed to induce. Second, </w:t>
      </w:r>
      <w:r>
        <w:rPr>
          <w:b/>
          <w:bCs/>
        </w:rPr>
        <w:t xml:space="preserve">glass is a net-cost stream</w:t>
      </w:r>
      <w:r>
        <w:t xml:space="preserve">: cullet revenue rarely covers glass collection and logistics costs - the reason many systems exclude glass and the reason the UAE glass producer fee (AED 0.24) is the highest of the three (financial assumptions memo; Reloop, 2024). Aluminium is the margin engine that cross-subsidises the system; Norway, Sweden and Slovakia run zero or near-zero can fees for exactly this reason (Reloop, 2024). MENA-specific commodity price series are not publicly available; European/US/Asian benchmarks are used as proxies [DATA GAP: MENA rPET/UBC/cullet price indices].</w:t>
      </w:r>
    </w:p>
    <w:p>
      <w:pPr>
        <w:spacing w:after="160" w:line="300"/>
        <w:jc w:val="both"/>
      </w:pPr>
      <w:r>
        <w:t xml:space="preserve">Producers receive a </w:t>
      </w:r>
      <w:r>
        <w:rPr>
          <w:b/>
          <w:bCs/>
        </w:rPr>
        <w:t xml:space="preserve">right of first refusal on their own recovered material</w:t>
      </w:r>
      <w:r>
        <w:t xml:space="preserve"> - the Dutch/Infinitum practice that closes the bottle-to-bottle loop and converts producer fees into supply security for recycled-content commitments (Reloop, 2024).</w:t>
      </w:r>
    </w:p>
    <w:p>
      <w:pPr>
        <w:pStyle w:val="Heading2"/>
        <w:keepNext/>
        <w:spacing w:after="140" w:before="340"/>
      </w:pPr>
      <w:r>
        <w:rPr>
          <w:rFonts w:ascii="Georgia" w:cs="Georgia" w:eastAsia="Georgia" w:hAnsi="Georgia"/>
          <w:b/>
          <w:bCs/>
          <w:color w:val="1B2A4A"/>
          <w:sz w:val="30"/>
          <w:szCs w:val="30"/>
        </w:rPr>
        <w:t xml:space="preserve">6.6 The central IT platform: the system's single source of truth</w:t>
      </w:r>
    </w:p>
    <w:p>
      <w:pPr>
        <w:spacing w:after="160" w:line="300"/>
        <w:jc w:val="both"/>
      </w:pPr>
      <w:r>
        <w:t xml:space="preserve">The central platform is the DRS's nervous system, budgeted at </w:t>
      </w:r>
      <w:r>
        <w:rPr>
          <w:b/>
          <w:bCs/>
        </w:rPr>
        <w:t xml:space="preserve">AED 30M capex / ~AED 8M per year opex</w:t>
      </w:r>
      <w:r>
        <w:t xml:space="preserve">. National DRS IT contract values are not publicly disclosed anywhere [DATA GAP: central-IT contract benchmarks - none published; Sensoneo company revenue &gt;€8M in 2024 used as scale signal], but build-time is well evidenced: </w:t>
      </w:r>
      <w:r>
        <w:rPr>
          <w:b/>
          <w:bCs/>
        </w:rPr>
        <w:t xml:space="preserve">Slovakia's national platform was built in 6-10 months</w:t>
      </w:r>
      <w:r>
        <w:t xml:space="preserve">, and the dominant integrator (Sensoneo) runs the platforms of Romania, Slovakia, Malta, Ireland, Hungary, Austria, Portugal and Poland - Romania's integrating up to 90,000 stakeholders and ~80,000 collection points (Waste Management World, 2022; Sensoneo, 2024).</w:t>
      </w:r>
    </w:p>
    <w:p>
      <w:pPr>
        <w:spacing w:after="160" w:line="300"/>
        <w:jc w:val="both"/>
      </w:pPr>
      <w:r>
        <w:t xml:space="preserve">Five functional layers:</w:t>
      </w:r>
    </w:p>
    <w:p>
      <w:pPr>
        <w:spacing w:after="90" w:line="290"/>
        <w:ind w:left="380" w:hanging="180"/>
      </w:pPr>
      <w:r>
        <w:rPr>
          <w:b/>
          <w:bCs/>
          <w:color w:val="1B2A4A"/>
        </w:rPr>
        <w:t xml:space="preserve">1. </w:t>
      </w:r>
      <w:r>
        <w:rPr>
          <w:b/>
          <w:bCs/>
        </w:rPr>
        <w:t xml:space="preserve">Registration database</w:t>
      </w:r>
      <w:r>
        <w:t xml:space="preserve"> - every producer, importer, retailer, SKU and EAN barcode registered before sale; only registered containers redeemable.</w:t>
      </w:r>
    </w:p>
    <w:p>
      <w:pPr>
        <w:spacing w:after="90" w:line="290"/>
        <w:ind w:left="380" w:hanging="180"/>
      </w:pPr>
      <w:r>
        <w:rPr>
          <w:b/>
          <w:bCs/>
          <w:color w:val="1B2A4A"/>
        </w:rPr>
        <w:t xml:space="preserve">2. </w:t>
      </w:r>
      <w:r>
        <w:rPr>
          <w:b/>
          <w:bCs/>
        </w:rPr>
        <w:t xml:space="preserve">Real-time clearing</w:t>
      </w:r>
      <w:r>
        <w:t xml:space="preserve"> - online RVMs reconcile every transaction against the database before reimbursement; deposit flows between producers, retailers, consumers and the system administrator cleared centrally (the single-clearing-entity standard; Reloop, 2024).</w:t>
      </w:r>
    </w:p>
    <w:p>
      <w:pPr>
        <w:spacing w:after="90" w:line="290"/>
        <w:ind w:left="380" w:hanging="180"/>
      </w:pPr>
      <w:r>
        <w:rPr>
          <w:b/>
          <w:bCs/>
          <w:color w:val="1B2A4A"/>
        </w:rPr>
        <w:t xml:space="preserve">3. </w:t>
      </w:r>
      <w:r>
        <w:rPr>
          <w:b/>
          <w:bCs/>
        </w:rPr>
        <w:t xml:space="preserve">Fraud control</w:t>
      </w:r>
      <w:r>
        <w:t xml:space="preserve"> - compaction at point of return; mandatory DRS marking; real-time voucher validation (Malta's central voucher redemption server; Sensoneo, 2026); monthly deposit-payment/POM matching (Hungary model); international-barcode fee surcharges to price cross-border fraud risk (Estonia, Slovakia, Malta, Ireland precedent - directly relevant to a Gulf state with non-DRS neighbours). No reliable published fraud-rate figures exist for any system [DATA GAP: quantified DRS fraud rates - no published measurements; mitigation is by design, not ex-post reporting].</w:t>
      </w:r>
    </w:p>
    <w:p>
      <w:pPr>
        <w:spacing w:after="90" w:line="290"/>
        <w:ind w:left="380" w:hanging="180"/>
      </w:pPr>
      <w:r>
        <w:rPr>
          <w:b/>
          <w:bCs/>
          <w:color w:val="1B2A4A"/>
        </w:rPr>
        <w:t xml:space="preserve">4. </w:t>
      </w:r>
      <w:r>
        <w:rPr>
          <w:b/>
          <w:bCs/>
        </w:rPr>
        <w:t xml:space="preserve">Government reporting</w:t>
      </w:r>
      <w:r>
        <w:t xml:space="preserve"> - statutory dashboards to the Ministry of Climate Change &amp; Environment and the Ministry of Economy &amp; Tourism: quantities placed on market, collected and recycled, by material, emirate and channel; escrow balances; fee-review inputs.</w:t>
      </w:r>
    </w:p>
    <w:p>
      <w:pPr>
        <w:spacing w:after="90" w:line="290"/>
        <w:ind w:left="380" w:hanging="180"/>
      </w:pPr>
      <w:r>
        <w:rPr>
          <w:b/>
          <w:bCs/>
          <w:color w:val="1B2A4A"/>
        </w:rPr>
        <w:t xml:space="preserve">5. </w:t>
      </w:r>
      <w:r>
        <w:rPr>
          <w:b/>
          <w:bCs/>
        </w:rPr>
        <w:t xml:space="preserve">Consumer-facing services</w:t>
      </w:r>
      <w:r>
        <w:t xml:space="preserve"> - the refund channels of Section 6.7, including app-based digital-wallet refunds (Türkiye's DOA app is the closest structural analogue: hot climate, tourism-heavy, app-first; monitor its first-year results).</w:t>
      </w:r>
    </w:p>
    <w:p>
      <w:pPr>
        <w:spacing w:after="40" w:before="200"/>
        <w:jc w:val="center"/>
      </w:pPr>
      <w:r>
        <w:drawing>
          <wp:inline distT="0" distB="0" distL="0" distR="0">
            <wp:extent cx="5524500" cy="3190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524500" cy="3190875"/>
                    </a:xfrm>
                    <a:prstGeom prst="rect">
                      <a:avLst/>
                    </a:prstGeom>
                  </pic:spPr>
                </pic:pic>
              </a:graphicData>
            </a:graphic>
          </wp:inline>
        </w:drawing>
      </w:r>
    </w:p>
    <w:p>
      <w:pPr>
        <w:spacing w:after="240" w:before="40"/>
        <w:jc w:val="center"/>
      </w:pPr>
      <w:r>
        <w:rPr>
          <w:rFonts w:ascii="Calibri" w:cs="Calibri" w:eastAsia="Calibri" w:hAnsi="Calibri"/>
          <w:i/>
          <w:iCs/>
          <w:color w:val="4A6580"/>
          <w:sz w:val="17"/>
          <w:szCs w:val="17"/>
        </w:rPr>
        <w:t xml:space="preserve">System money flows - producer fees and material sales fund operations; deposits pass through a ring-fenced escrow, never operator revenue.</w:t>
      </w:r>
    </w:p>
    <w:p>
      <w:pPr>
        <w:pStyle w:val="Heading2"/>
        <w:keepNext/>
        <w:spacing w:after="140" w:before="340"/>
      </w:pPr>
      <w:r>
        <w:rPr>
          <w:rFonts w:ascii="Georgia" w:cs="Georgia" w:eastAsia="Georgia" w:hAnsi="Georgia"/>
          <w:b/>
          <w:bCs/>
          <w:color w:val="1B2A4A"/>
          <w:sz w:val="30"/>
          <w:szCs w:val="30"/>
        </w:rPr>
        <w:t xml:space="preserve">6.7 Consumer experience and refund channels</w:t>
      </w:r>
    </w:p>
    <w:p>
      <w:pPr>
        <w:spacing w:after="160" w:line="300"/>
        <w:jc w:val="both"/>
      </w:pPr>
      <w:r>
        <w:t xml:space="preserve">The consumer proposition must be frictionless: </w:t>
      </w:r>
      <w:r>
        <w:rPr>
          <w:b/>
          <w:bCs/>
        </w:rPr>
        <w:t xml:space="preserve">buy, drink, return, instant refund</w:t>
      </w:r>
      <w:r>
        <w:t xml:space="preserve">. The deposit is framed as a returnable incentive, not a tax (Earth Care Consulting, 2025). Four refund channels, matching the best-performing systems:</w:t>
      </w:r>
    </w:p>
    <w:p>
      <w:pPr>
        <w:spacing w:after="40" w:before="200"/>
        <w:jc w:val="center"/>
      </w:pPr>
      <w:r>
        <w:drawing>
          <wp:inline distT="0" distB="0" distL="0" distR="0">
            <wp:extent cx="2000250" cy="3552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2000250" cy="3552825"/>
                    </a:xfrm>
                    <a:prstGeom prst="rect">
                      <a:avLst/>
                    </a:prstGeom>
                  </pic:spPr>
                </pic:pic>
              </a:graphicData>
            </a:graphic>
          </wp:inline>
        </w:drawing>
      </w:r>
    </w:p>
    <w:p>
      <w:pPr>
        <w:spacing w:after="240" w:before="40"/>
        <w:jc w:val="center"/>
      </w:pPr>
      <w:r>
        <w:rPr>
          <w:rFonts w:ascii="Calibri" w:cs="Calibri" w:eastAsia="Calibri" w:hAnsi="Calibri"/>
          <w:i/>
          <w:iCs/>
          <w:color w:val="4A6580"/>
          <w:sz w:val="17"/>
          <w:szCs w:val="17"/>
        </w:rPr>
        <w:t xml:space="preserve">Deposit return in practice - European benchmark system (Lithuania): the refund counts up live at the RVM, €0.10 per container.</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2912"/>
        <w:gridCol w:w="2912"/>
        <w:gridCol w:w="2914"/>
      </w:tblGrid>
      <w:tr>
        <w:trPr>
          <w:tblHeader/>
        </w:trPr>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Channel</w:t>
            </w:r>
          </w:p>
        </w:tc>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Mechanism</w:t>
            </w:r>
          </w:p>
        </w:tc>
        <w:tc>
          <w:tcPr>
            <w:tcW w:type="dxa" w:w="291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Precedent</w:t>
            </w:r>
          </w:p>
        </w:tc>
      </w:tr>
      <w:tr>
        <w:tc>
          <w:tcPr>
            <w:tcW w:type="dxa" w:w="2912"/>
            <w:shd w:fill="FFFFFF" w:val="clear"/>
            <w:tcMar>
              <w:top w:type="dxa" w:w="80"/>
              <w:left w:type="dxa" w:w="100"/>
              <w:bottom w:type="dxa" w:w="80"/>
              <w:right w:type="dxa" w:w="100"/>
            </w:tcMar>
          </w:tcPr>
          <w:p>
            <w:pPr>
              <w:spacing w:after="0" w:line="240"/>
            </w:pPr>
            <w:r>
              <w:rPr>
                <w:b/>
                <w:bCs/>
                <w:sz w:val="17"/>
                <w:szCs w:val="17"/>
              </w:rPr>
              <w:t xml:space="preserve">Retail voucher</w:t>
            </w:r>
          </w:p>
        </w:tc>
        <w:tc>
          <w:tcPr>
            <w:tcW w:type="dxa" w:w="2912"/>
            <w:shd w:fill="FFFFFF" w:val="clear"/>
            <w:tcMar>
              <w:top w:type="dxa" w:w="80"/>
              <w:left w:type="dxa" w:w="100"/>
              <w:bottom w:type="dxa" w:w="80"/>
              <w:right w:type="dxa" w:w="100"/>
            </w:tcMar>
          </w:tcPr>
          <w:p>
            <w:pPr>
              <w:spacing w:after="0" w:line="240"/>
            </w:pPr>
            <w:r>
              <w:rPr>
                <w:sz w:val="17"/>
                <w:szCs w:val="17"/>
              </w:rPr>
              <w:t xml:space="preserve">RVM prints redeemable voucher; spendable at the issuing retailer</w:t>
            </w:r>
          </w:p>
        </w:tc>
        <w:tc>
          <w:tcPr>
            <w:tcW w:type="dxa" w:w="2914"/>
            <w:shd w:fill="FFFFFF" w:val="clear"/>
            <w:tcMar>
              <w:top w:type="dxa" w:w="80"/>
              <w:left w:type="dxa" w:w="100"/>
              <w:bottom w:type="dxa" w:w="80"/>
              <w:right w:type="dxa" w:w="100"/>
            </w:tcMar>
          </w:tcPr>
          <w:p>
            <w:pPr>
              <w:spacing w:after="0" w:line="240"/>
            </w:pPr>
            <w:r>
              <w:rPr>
                <w:sz w:val="17"/>
                <w:szCs w:val="17"/>
              </w:rPr>
              <w:t xml:space="preserve">Hungary: &gt;80% of refunds taken as store vouchers; Malta voucher redemption &gt;98% (MaltaToday, 2026)</w:t>
            </w:r>
          </w:p>
        </w:tc>
      </w:tr>
      <w:tr>
        <w:tc>
          <w:tcPr>
            <w:tcW w:type="dxa" w:w="2912"/>
            <w:shd w:fill="F5F1E8" w:val="clear"/>
            <w:tcMar>
              <w:top w:type="dxa" w:w="80"/>
              <w:left w:type="dxa" w:w="100"/>
              <w:bottom w:type="dxa" w:w="80"/>
              <w:right w:type="dxa" w:w="100"/>
            </w:tcMar>
          </w:tcPr>
          <w:p>
            <w:pPr>
              <w:spacing w:after="0" w:line="240"/>
            </w:pPr>
            <w:r>
              <w:rPr>
                <w:b/>
                <w:bCs/>
                <w:sz w:val="17"/>
                <w:szCs w:val="17"/>
              </w:rPr>
              <w:t xml:space="preserve">Cash</w:t>
            </w:r>
          </w:p>
        </w:tc>
        <w:tc>
          <w:tcPr>
            <w:tcW w:type="dxa" w:w="2912"/>
            <w:shd w:fill="F5F1E8" w:val="clear"/>
            <w:tcMar>
              <w:top w:type="dxa" w:w="80"/>
              <w:left w:type="dxa" w:w="100"/>
              <w:bottom w:type="dxa" w:w="80"/>
              <w:right w:type="dxa" w:w="100"/>
            </w:tcMar>
          </w:tcPr>
          <w:p>
            <w:pPr>
              <w:spacing w:after="0" w:line="240"/>
            </w:pPr>
            <w:r>
              <w:rPr>
                <w:sz w:val="17"/>
                <w:szCs w:val="17"/>
              </w:rPr>
              <w:t xml:space="preserve">Mandatory cash option at obligatory return points</w:t>
            </w:r>
          </w:p>
        </w:tc>
        <w:tc>
          <w:tcPr>
            <w:tcW w:type="dxa" w:w="2914"/>
            <w:shd w:fill="F5F1E8" w:val="clear"/>
            <w:tcMar>
              <w:top w:type="dxa" w:w="80"/>
              <w:left w:type="dxa" w:w="100"/>
              <w:bottom w:type="dxa" w:w="80"/>
              <w:right w:type="dxa" w:w="100"/>
            </w:tcMar>
          </w:tcPr>
          <w:p>
            <w:pPr>
              <w:spacing w:after="0" w:line="240"/>
            </w:pPr>
            <w:r>
              <w:rPr>
                <w:sz w:val="17"/>
                <w:szCs w:val="17"/>
              </w:rPr>
              <w:t xml:space="preserve">Slovakia requires cash refund at obligatory points (Reloop, 2024); Lithuania offers cash</w:t>
            </w:r>
          </w:p>
        </w:tc>
      </w:tr>
      <w:tr>
        <w:tc>
          <w:tcPr>
            <w:tcW w:type="dxa" w:w="2912"/>
            <w:shd w:fill="FFFFFF" w:val="clear"/>
            <w:tcMar>
              <w:top w:type="dxa" w:w="80"/>
              <w:left w:type="dxa" w:w="100"/>
              <w:bottom w:type="dxa" w:w="80"/>
              <w:right w:type="dxa" w:w="100"/>
            </w:tcMar>
          </w:tcPr>
          <w:p>
            <w:pPr>
              <w:spacing w:after="0" w:line="240"/>
            </w:pPr>
            <w:r>
              <w:rPr>
                <w:b/>
                <w:bCs/>
                <w:sz w:val="17"/>
                <w:szCs w:val="17"/>
              </w:rPr>
              <w:t xml:space="preserve">Digital wallet / app</w:t>
            </w:r>
          </w:p>
        </w:tc>
        <w:tc>
          <w:tcPr>
            <w:tcW w:type="dxa" w:w="2912"/>
            <w:shd w:fill="FFFFFF" w:val="clear"/>
            <w:tcMar>
              <w:top w:type="dxa" w:w="80"/>
              <w:left w:type="dxa" w:w="100"/>
              <w:bottom w:type="dxa" w:w="80"/>
              <w:right w:type="dxa" w:w="100"/>
            </w:tcMar>
          </w:tcPr>
          <w:p>
            <w:pPr>
              <w:spacing w:after="0" w:line="240"/>
            </w:pPr>
            <w:r>
              <w:rPr>
                <w:sz w:val="17"/>
                <w:szCs w:val="17"/>
              </w:rPr>
              <w:t xml:space="preserve">Scan-to-wallet refund via national DRS app</w:t>
            </w:r>
          </w:p>
        </w:tc>
        <w:tc>
          <w:tcPr>
            <w:tcW w:type="dxa" w:w="2914"/>
            <w:shd w:fill="FFFFFF" w:val="clear"/>
            <w:tcMar>
              <w:top w:type="dxa" w:w="80"/>
              <w:left w:type="dxa" w:w="100"/>
              <w:bottom w:type="dxa" w:w="80"/>
              <w:right w:type="dxa" w:w="100"/>
            </w:tcMar>
          </w:tcPr>
          <w:p>
            <w:pPr>
              <w:spacing w:after="0" w:line="240"/>
            </w:pPr>
            <w:r>
              <w:rPr>
                <w:sz w:val="17"/>
                <w:szCs w:val="17"/>
              </w:rPr>
              <w:t xml:space="preserve">Türkiye DOA app/e-wallet (2026); Norway's barcoded-bag online take-back</w:t>
            </w:r>
          </w:p>
        </w:tc>
      </w:tr>
      <w:tr>
        <w:tc>
          <w:tcPr>
            <w:tcW w:type="dxa" w:w="2912"/>
            <w:shd w:fill="F5F1E8" w:val="clear"/>
            <w:tcMar>
              <w:top w:type="dxa" w:w="80"/>
              <w:left w:type="dxa" w:w="100"/>
              <w:bottom w:type="dxa" w:w="80"/>
              <w:right w:type="dxa" w:w="100"/>
            </w:tcMar>
          </w:tcPr>
          <w:p>
            <w:pPr>
              <w:spacing w:after="0" w:line="240"/>
            </w:pPr>
            <w:r>
              <w:rPr>
                <w:b/>
                <w:bCs/>
                <w:sz w:val="17"/>
                <w:szCs w:val="17"/>
              </w:rPr>
              <w:t xml:space="preserve">Charity donation</w:t>
            </w:r>
          </w:p>
        </w:tc>
        <w:tc>
          <w:tcPr>
            <w:tcW w:type="dxa" w:w="2912"/>
            <w:shd w:fill="F5F1E8" w:val="clear"/>
            <w:tcMar>
              <w:top w:type="dxa" w:w="80"/>
              <w:left w:type="dxa" w:w="100"/>
              <w:bottom w:type="dxa" w:w="80"/>
              <w:right w:type="dxa" w:w="100"/>
            </w:tcMar>
          </w:tcPr>
          <w:p>
            <w:pPr>
              <w:spacing w:after="0" w:line="240"/>
            </w:pPr>
            <w:r>
              <w:rPr>
                <w:sz w:val="17"/>
                <w:szCs w:val="17"/>
              </w:rPr>
              <w:t xml:space="preserve">One-tap donation of the deposit to accredited charities</w:t>
            </w:r>
          </w:p>
        </w:tc>
        <w:tc>
          <w:tcPr>
            <w:tcW w:type="dxa" w:w="2914"/>
            <w:shd w:fill="F5F1E8" w:val="clear"/>
            <w:tcMar>
              <w:top w:type="dxa" w:w="80"/>
              <w:left w:type="dxa" w:w="100"/>
              <w:bottom w:type="dxa" w:w="80"/>
              <w:right w:type="dxa" w:w="100"/>
            </w:tcMar>
          </w:tcPr>
          <w:p>
            <w:pPr>
              <w:spacing w:after="0" w:line="240"/>
            </w:pPr>
            <w:r>
              <w:rPr>
                <w:sz w:val="17"/>
                <w:szCs w:val="17"/>
              </w:rPr>
              <w:t xml:space="preserve">Lithuania and Norway (charity lottery) precedent - high-uptake goodwill feature (Reloop, 2024)</w:t>
            </w:r>
          </w:p>
        </w:tc>
      </w:tr>
    </w:tbl>
    <w:p>
      <w:pPr>
        <w:spacing w:after="200"/>
      </w:pPr>
      <w:r>
        <w:rPr>
          <w:sz w:val="8"/>
          <w:szCs w:val="8"/>
        </w:rPr>
        <w:t xml:space="preserve"/>
      </w:r>
    </w:p>
    <w:p>
      <w:pPr>
        <w:spacing w:after="160" w:line="300"/>
        <w:jc w:val="both"/>
      </w:pPr>
      <w:r>
        <w:t xml:space="preserve">Lithuania's acceptance metrics are the benchmark for what a well-designed consumer experience delivers: </w:t>
      </w:r>
      <w:r>
        <w:rPr>
          <w:b/>
          <w:bCs/>
        </w:rPr>
        <w:t xml:space="preserve">97% public support, 97% satisfaction with convenience, 90% reporting visibly less litter</w:t>
      </w:r>
      <w:r>
        <w:t xml:space="preserve"> (USAD, 2018 survey). Manual return points and HoReCa integration ensure the ~61% of points that are non-automated do not become second-class channels; small-format retail serves returns with 15-30 minutes of staff time per day (DIO Latvia, 2024).</w:t>
      </w:r>
    </w:p>
    <w:p>
      <w:pPr>
        <w:pStyle w:val="Heading2"/>
        <w:keepNext/>
        <w:spacing w:after="140" w:before="340"/>
      </w:pPr>
      <w:r>
        <w:rPr>
          <w:rFonts w:ascii="Georgia" w:cs="Georgia" w:eastAsia="Georgia" w:hAnsi="Georgia"/>
          <w:b/>
          <w:bCs/>
          <w:color w:val="1B2A4A"/>
          <w:sz w:val="30"/>
          <w:szCs w:val="30"/>
        </w:rPr>
        <w:t xml:space="preserve">6.8 Unredeemed deposits policy: transparent escrow, zero operator benefit</w:t>
      </w:r>
    </w:p>
    <w:p>
      <w:pPr>
        <w:spacing w:after="160" w:line="300"/>
        <w:jc w:val="both"/>
      </w:pPr>
      <w:r>
        <w:t xml:space="preserve">This is the policy area where ministerial scrutiny will be most intense, and where the UAE design is deliberately more conservative than European practice.</w:t>
      </w:r>
    </w:p>
    <w:p>
      <w:pPr>
        <w:spacing w:after="160" w:line="300"/>
        <w:jc w:val="both"/>
      </w:pPr>
      <w:r>
        <w:rPr>
          <w:b/>
          <w:bCs/>
        </w:rPr>
        <w:t xml:space="preserve">The facts.</w:t>
      </w:r>
      <w:r>
        <w:t xml:space="preserve"> At AED 0.25 on 3.74 bn units, gross annual deposits are </w:t>
      </w:r>
      <w:r>
        <w:rPr>
          <w:b/>
          <w:bCs/>
        </w:rPr>
        <w:t xml:space="preserve">~AED 935M in year 1</w:t>
      </w:r>
      <w:r>
        <w:t xml:space="preserve"> (within the survey's AED 0.75-1.08 bn sensitivity range). Unredeemed balances are modelled at </w:t>
      </w:r>
      <w:r>
        <w:rPr>
          <w:b/>
          <w:bCs/>
        </w:rPr>
        <w:t xml:space="preserve">AED 421M in year 1, declining to ~AED 110M/yr at 90% redemption</w:t>
      </w:r>
      <w:r>
        <w:t xml:space="preserve">, with cumulative escrow of ~AED 1.8 bn by 2037 (financial assumptions memo - memo item only, never revenue).</w:t>
      </w:r>
    </w:p>
    <w:p>
      <w:pPr>
        <w:spacing w:after="160" w:line="300"/>
        <w:jc w:val="both"/>
      </w:pPr>
      <w:r>
        <w:rPr>
          <w:b/>
          <w:bCs/>
        </w:rPr>
        <w:t xml:space="preserve">The policy.</w:t>
      </w:r>
      <w:r>
        <w:t xml:space="preserve"> Four binding rules:</w:t>
      </w:r>
    </w:p>
    <w:p>
      <w:pPr>
        <w:spacing w:after="90" w:line="290"/>
        <w:ind w:left="380" w:hanging="180"/>
      </w:pPr>
      <w:r>
        <w:rPr>
          <w:b/>
          <w:bCs/>
          <w:color w:val="1B2A4A"/>
        </w:rPr>
        <w:t xml:space="preserve">1. </w:t>
      </w:r>
      <w:r>
        <w:rPr>
          <w:b/>
          <w:bCs/>
        </w:rPr>
        <w:t xml:space="preserve">Pass-through, not revenue.</w:t>
      </w:r>
      <w:r>
        <w:t xml:space="preserve"> Deposit funds are liabilities of the system to consumers. They sit in a </w:t>
      </w:r>
      <w:r>
        <w:rPr>
          <w:b/>
          <w:bCs/>
        </w:rPr>
        <w:t xml:space="preserve">transparent escrow account</w:t>
      </w:r>
      <w:r>
        <w:t xml:space="preserve">, legally separated from DSO operating funds - the Slovak statutory model (Barikáda, 2021).</w:t>
      </w:r>
    </w:p>
    <w:p>
      <w:pPr>
        <w:spacing w:after="90" w:line="290"/>
        <w:ind w:left="380" w:hanging="180"/>
      </w:pPr>
      <w:r>
        <w:rPr>
          <w:b/>
          <w:bCs/>
          <w:color w:val="1B2A4A"/>
        </w:rPr>
        <w:t xml:space="preserve">2. </w:t>
      </w:r>
      <w:r>
        <w:rPr>
          <w:b/>
          <w:bCs/>
        </w:rPr>
        <w:t xml:space="preserve">Segen takes zero.</w:t>
      </w:r>
      <w:r>
        <w:t xml:space="preserve"> Segen's income is limited to the operations management fee (OMF) and the value of recovered materials. No unredeemed deposit, float income, or escrow yield accrues to Segen or any operator entity - the Project Description's verbatim pledge, enforced by the governance structure of Section 6.2.</w:t>
      </w:r>
    </w:p>
    <w:p>
      <w:pPr>
        <w:spacing w:after="90" w:line="290"/>
        <w:ind w:left="380" w:hanging="180"/>
      </w:pPr>
      <w:r>
        <w:rPr>
          <w:b/>
          <w:bCs/>
          <w:color w:val="1B2A4A"/>
        </w:rPr>
        <w:t xml:space="preserve">3. </w:t>
      </w:r>
      <w:r>
        <w:rPr>
          <w:b/>
          <w:bCs/>
        </w:rPr>
        <w:t xml:space="preserve">Restricted uses.</w:t>
      </w:r>
      <w:r>
        <w:t xml:space="preserve"> Unredeemed balances may be used only for (a) a system rebate/reserve stabilising producer fees across redemption cycles, and (b) consumer awareness and system-improvement programmes. Ireland's experience - where unredeemed deposits paid off setup costs but triggered a €23.7M VAT settlement and political controversy over €66.7M unclaimed (CSNA, 2025) - shows why uses must be legislated in advance.</w:t>
      </w:r>
    </w:p>
    <w:p>
      <w:pPr>
        <w:spacing w:after="90" w:line="290"/>
        <w:ind w:left="380" w:hanging="180"/>
      </w:pPr>
      <w:r>
        <w:rPr>
          <w:b/>
          <w:bCs/>
          <w:color w:val="1B2A4A"/>
        </w:rPr>
        <w:t xml:space="preserve">4. </w:t>
      </w:r>
      <w:r>
        <w:rPr>
          <w:b/>
          <w:bCs/>
        </w:rPr>
        <w:t xml:space="preserve">Periodic public reporting.</w:t>
      </w:r>
      <w:r>
        <w:t xml:space="preserve"> Escrow balances, flows and uses are published at defined intervals and reported to the supervising ministries, with independent audit. Portugal's state Environment Fund transfer option remains available to policymakers from year 3 (Reloop, 2024).</w:t>
      </w:r>
    </w:p>
    <w:p>
      <w:pPr>
        <w:pBdr>
          <w:left w:val="single" w:color="C9A227" w:sz="18"/>
        </w:pBdr>
        <w:shd w:fill="F5F1E8" w:val="clear"/>
        <w:spacing w:after="100" w:before="60" w:line="280"/>
        <w:ind w:left="260" w:right="260"/>
      </w:pPr>
      <w:r>
        <w:rPr>
          <w:b/>
          <w:bCs/>
          <w:color w:val="1B2A4A"/>
          <w:sz w:val="20"/>
          <w:szCs w:val="20"/>
        </w:rPr>
        <w:t xml:space="preserve">Design consequence:</w:t>
      </w:r>
      <w:r>
        <w:rPr>
          <w:color w:val="1B2A4A"/>
          <w:sz w:val="20"/>
          <w:szCs w:val="20"/>
        </w:rPr>
        <w:t xml:space="preserve"> because unredeemed deposits are not operator revenue, every additional returned container adds ~AED 0.22 of variable cost against ~AED 0.09 of material value. Higher redemption is margin-dilutive at fixed fees - which is why producer fees are set on an </w:t>
      </w:r>
      <w:r>
        <w:rPr>
          <w:b/>
          <w:bCs/>
          <w:color w:val="1B2A4A"/>
          <w:sz w:val="20"/>
          <w:szCs w:val="20"/>
        </w:rPr>
        <w:t xml:space="preserve">annual cost-recovery formula</w:t>
      </w:r>
      <w:r>
        <w:rPr>
          <w:color w:val="1B2A4A"/>
          <w:sz w:val="20"/>
          <w:szCs w:val="20"/>
        </w:rPr>
        <w:t xml:space="preserve">, keeping system economics stable across redemption levels. Ireland's lesson, verbatim: producer fees must be set for the steady state, not the ramp-up (Re-turn 2024 Annual Report via CSNA, 2025).</w:t>
      </w:r>
    </w:p>
    <w:p>
      <w:pPr>
        <w:spacing w:after="120"/>
      </w:pPr>
      <w:r>
        <w:rPr>
          <w:sz w:val="8"/>
          <w:szCs w:val="8"/>
        </w:rPr>
        <w:t xml:space="preserve"/>
      </w:r>
    </w:p>
    <w:p>
      <w:pPr>
        <w:pStyle w:val="Heading2"/>
        <w:keepNext/>
        <w:spacing w:after="140" w:before="340"/>
      </w:pPr>
      <w:r>
        <w:rPr>
          <w:rFonts w:ascii="Georgia" w:cs="Georgia" w:eastAsia="Georgia" w:hAnsi="Georgia"/>
          <w:b/>
          <w:bCs/>
          <w:color w:val="1B2A4A"/>
          <w:sz w:val="30"/>
          <w:szCs w:val="30"/>
        </w:rPr>
        <w:t xml:space="preserve">6.9 Chapter summary: the operating model at a glance</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2912"/>
        <w:gridCol w:w="2912"/>
        <w:gridCol w:w="2914"/>
      </w:tblGrid>
      <w:tr>
        <w:trPr>
          <w:tblHeader/>
        </w:trPr>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Layer</w:t>
            </w:r>
          </w:p>
        </w:tc>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Design</w:t>
            </w:r>
          </w:p>
        </w:tc>
        <w:tc>
          <w:tcPr>
            <w:tcW w:type="dxa" w:w="291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Key figures</w:t>
            </w:r>
          </w:p>
        </w:tc>
      </w:tr>
      <w:tr>
        <w:tc>
          <w:tcPr>
            <w:tcW w:type="dxa" w:w="2912"/>
            <w:shd w:fill="FFFFFF" w:val="clear"/>
            <w:tcMar>
              <w:top w:type="dxa" w:w="80"/>
              <w:left w:type="dxa" w:w="100"/>
              <w:bottom w:type="dxa" w:w="80"/>
              <w:right w:type="dxa" w:w="100"/>
            </w:tcMar>
          </w:tcPr>
          <w:p>
            <w:pPr>
              <w:spacing w:after="0" w:line="240"/>
            </w:pPr>
            <w:r>
              <w:rPr>
                <w:sz w:val="17"/>
                <w:szCs w:val="17"/>
              </w:rPr>
              <w:t xml:space="preserve">Scope</w:t>
            </w:r>
          </w:p>
        </w:tc>
        <w:tc>
          <w:tcPr>
            <w:tcW w:type="dxa" w:w="2912"/>
            <w:shd w:fill="FFFFFF" w:val="clear"/>
            <w:tcMar>
              <w:top w:type="dxa" w:w="80"/>
              <w:left w:type="dxa" w:w="100"/>
              <w:bottom w:type="dxa" w:w="80"/>
              <w:right w:type="dxa" w:w="100"/>
            </w:tcMar>
          </w:tcPr>
          <w:p>
            <w:pPr>
              <w:spacing w:after="0" w:line="240"/>
            </w:pPr>
            <w:r>
              <w:rPr>
                <w:sz w:val="17"/>
                <w:szCs w:val="17"/>
              </w:rPr>
              <w:t xml:space="preserve">PET + metal + glass, 0.1-3 L, national day-one</w:t>
            </w:r>
          </w:p>
        </w:tc>
        <w:tc>
          <w:tcPr>
            <w:tcW w:type="dxa" w:w="2914"/>
            <w:shd w:fill="FFFFFF" w:val="clear"/>
            <w:tcMar>
              <w:top w:type="dxa" w:w="80"/>
              <w:left w:type="dxa" w:w="100"/>
              <w:bottom w:type="dxa" w:w="80"/>
              <w:right w:type="dxa" w:w="100"/>
            </w:tcMar>
          </w:tcPr>
          <w:p>
            <w:pPr>
              <w:spacing w:after="0" w:line="240"/>
            </w:pPr>
            <w:r>
              <w:rPr>
                <w:sz w:val="17"/>
                <w:szCs w:val="17"/>
              </w:rPr>
              <w:t xml:space="preserve">3.74 bn units POM (2028 base)</w:t>
            </w:r>
          </w:p>
        </w:tc>
      </w:tr>
      <w:tr>
        <w:tc>
          <w:tcPr>
            <w:tcW w:type="dxa" w:w="2912"/>
            <w:shd w:fill="F5F1E8" w:val="clear"/>
            <w:tcMar>
              <w:top w:type="dxa" w:w="80"/>
              <w:left w:type="dxa" w:w="100"/>
              <w:bottom w:type="dxa" w:w="80"/>
              <w:right w:type="dxa" w:w="100"/>
            </w:tcMar>
          </w:tcPr>
          <w:p>
            <w:pPr>
              <w:spacing w:after="0" w:line="240"/>
            </w:pPr>
            <w:r>
              <w:rPr>
                <w:sz w:val="17"/>
                <w:szCs w:val="17"/>
              </w:rPr>
              <w:t xml:space="preserve">Deposit</w:t>
            </w:r>
          </w:p>
        </w:tc>
        <w:tc>
          <w:tcPr>
            <w:tcW w:type="dxa" w:w="2912"/>
            <w:shd w:fill="F5F1E8" w:val="clear"/>
            <w:tcMar>
              <w:top w:type="dxa" w:w="80"/>
              <w:left w:type="dxa" w:w="100"/>
              <w:bottom w:type="dxa" w:w="80"/>
              <w:right w:type="dxa" w:w="100"/>
            </w:tcMar>
          </w:tcPr>
          <w:p>
            <w:pPr>
              <w:spacing w:after="0" w:line="240"/>
            </w:pPr>
            <w:r>
              <w:rPr>
                <w:b/>
                <w:bCs/>
                <w:sz w:val="17"/>
                <w:szCs w:val="17"/>
              </w:rPr>
              <w:t xml:space="preserve">Flat AED 0.25</w:t>
            </w:r>
            <w:r>
              <w:rPr>
                <w:sz w:val="17"/>
                <w:szCs w:val="17"/>
              </w:rPr>
              <w:t xml:space="preserve"> (non-binding recommendation)</w:t>
            </w:r>
          </w:p>
        </w:tc>
        <w:tc>
          <w:tcPr>
            <w:tcW w:type="dxa" w:w="2914"/>
            <w:shd w:fill="F5F1E8" w:val="clear"/>
            <w:tcMar>
              <w:top w:type="dxa" w:w="80"/>
              <w:left w:type="dxa" w:w="100"/>
              <w:bottom w:type="dxa" w:w="80"/>
              <w:right w:type="dxa" w:w="100"/>
            </w:tcMar>
          </w:tcPr>
          <w:p>
            <w:pPr>
              <w:spacing w:after="0" w:line="240"/>
            </w:pPr>
            <w:r>
              <w:rPr>
                <w:sz w:val="17"/>
                <w:szCs w:val="17"/>
              </w:rPr>
              <w:t xml:space="preserve">Gross float ~AED 935M yr-1</w:t>
            </w:r>
          </w:p>
        </w:tc>
      </w:tr>
      <w:tr>
        <w:tc>
          <w:tcPr>
            <w:tcW w:type="dxa" w:w="2912"/>
            <w:shd w:fill="FFFFFF" w:val="clear"/>
            <w:tcMar>
              <w:top w:type="dxa" w:w="80"/>
              <w:left w:type="dxa" w:w="100"/>
              <w:bottom w:type="dxa" w:w="80"/>
              <w:right w:type="dxa" w:w="100"/>
            </w:tcMar>
          </w:tcPr>
          <w:p>
            <w:pPr>
              <w:spacing w:after="0" w:line="240"/>
            </w:pPr>
            <w:r>
              <w:rPr>
                <w:sz w:val="17"/>
                <w:szCs w:val="17"/>
              </w:rPr>
              <w:t xml:space="preserve">Governance</w:t>
            </w:r>
          </w:p>
        </w:tc>
        <w:tc>
          <w:tcPr>
            <w:tcW w:type="dxa" w:w="2912"/>
            <w:shd w:fill="FFFFFF" w:val="clear"/>
            <w:tcMar>
              <w:top w:type="dxa" w:w="80"/>
              <w:left w:type="dxa" w:w="100"/>
              <w:bottom w:type="dxa" w:w="80"/>
              <w:right w:type="dxa" w:w="100"/>
            </w:tcMar>
          </w:tcPr>
          <w:p>
            <w:pPr>
              <w:spacing w:after="0" w:line="240"/>
            </w:pPr>
            <w:r>
              <w:rPr>
                <w:sz w:val="17"/>
                <w:szCs w:val="17"/>
              </w:rPr>
              <w:t xml:space="preserve">Single centralised not-for-profit DSO/PRO; producers, importers, retailers, government observer</w:t>
            </w:r>
          </w:p>
        </w:tc>
        <w:tc>
          <w:tcPr>
            <w:tcW w:type="dxa" w:w="2914"/>
            <w:shd w:fill="FFFFFF" w:val="clear"/>
            <w:tcMar>
              <w:top w:type="dxa" w:w="80"/>
              <w:left w:type="dxa" w:w="100"/>
              <w:bottom w:type="dxa" w:w="80"/>
              <w:right w:type="dxa" w:w="100"/>
            </w:tcMar>
          </w:tcPr>
          <w:p>
            <w:pPr>
              <w:spacing w:after="0" w:line="240"/>
            </w:pPr>
            <w:r>
              <w:rPr>
                <w:sz w:val="17"/>
                <w:szCs w:val="17"/>
              </w:rPr>
              <w:t xml:space="preserve">&gt;80% POM founder coverage target</w:t>
            </w:r>
          </w:p>
        </w:tc>
      </w:tr>
      <w:tr>
        <w:tc>
          <w:tcPr>
            <w:tcW w:type="dxa" w:w="2912"/>
            <w:shd w:fill="F5F1E8" w:val="clear"/>
            <w:tcMar>
              <w:top w:type="dxa" w:w="80"/>
              <w:left w:type="dxa" w:w="100"/>
              <w:bottom w:type="dxa" w:w="80"/>
              <w:right w:type="dxa" w:w="100"/>
            </w:tcMar>
          </w:tcPr>
          <w:p>
            <w:pPr>
              <w:spacing w:after="0" w:line="240"/>
            </w:pPr>
            <w:r>
              <w:rPr>
                <w:sz w:val="17"/>
                <w:szCs w:val="17"/>
              </w:rPr>
              <w:t xml:space="preserve">Collection</w:t>
            </w:r>
          </w:p>
        </w:tc>
        <w:tc>
          <w:tcPr>
            <w:tcW w:type="dxa" w:w="2912"/>
            <w:shd w:fill="F5F1E8" w:val="clear"/>
            <w:tcMar>
              <w:top w:type="dxa" w:w="80"/>
              <w:left w:type="dxa" w:w="100"/>
              <w:bottom w:type="dxa" w:w="80"/>
              <w:right w:type="dxa" w:w="100"/>
            </w:tcMar>
          </w:tcPr>
          <w:p>
            <w:pPr>
              <w:spacing w:after="0" w:line="240"/>
            </w:pPr>
            <w:r>
              <w:rPr>
                <w:sz w:val="17"/>
                <w:szCs w:val="17"/>
              </w:rPr>
              <w:t xml:space="preserve">Return-to-retail; 3,500 RVMs + ~5,500 manual points</w:t>
            </w:r>
          </w:p>
        </w:tc>
        <w:tc>
          <w:tcPr>
            <w:tcW w:type="dxa" w:w="2914"/>
            <w:shd w:fill="F5F1E8" w:val="clear"/>
            <w:tcMar>
              <w:top w:type="dxa" w:w="80"/>
              <w:left w:type="dxa" w:w="100"/>
              <w:bottom w:type="dxa" w:w="80"/>
              <w:right w:type="dxa" w:w="100"/>
            </w:tcMar>
          </w:tcPr>
          <w:p>
            <w:pPr>
              <w:spacing w:after="0" w:line="240"/>
            </w:pPr>
            <w:r>
              <w:rPr>
                <w:sz w:val="17"/>
                <w:szCs w:val="17"/>
              </w:rPr>
              <w:t xml:space="preserve">~1,250 people/point; RHF AED 0.10/container</w:t>
            </w:r>
          </w:p>
        </w:tc>
      </w:tr>
      <w:tr>
        <w:tc>
          <w:tcPr>
            <w:tcW w:type="dxa" w:w="2912"/>
            <w:shd w:fill="FFFFFF" w:val="clear"/>
            <w:tcMar>
              <w:top w:type="dxa" w:w="80"/>
              <w:left w:type="dxa" w:w="100"/>
              <w:bottom w:type="dxa" w:w="80"/>
              <w:right w:type="dxa" w:w="100"/>
            </w:tcMar>
          </w:tcPr>
          <w:p>
            <w:pPr>
              <w:spacing w:after="0" w:line="240"/>
            </w:pPr>
            <w:r>
              <w:rPr>
                <w:sz w:val="17"/>
                <w:szCs w:val="17"/>
              </w:rPr>
              <w:t xml:space="preserve">Logistics</w:t>
            </w:r>
          </w:p>
        </w:tc>
        <w:tc>
          <w:tcPr>
            <w:tcW w:type="dxa" w:w="2912"/>
            <w:shd w:fill="FFFFFF" w:val="clear"/>
            <w:tcMar>
              <w:top w:type="dxa" w:w="80"/>
              <w:left w:type="dxa" w:w="100"/>
              <w:bottom w:type="dxa" w:w="80"/>
              <w:right w:type="dxa" w:w="100"/>
            </w:tcMar>
          </w:tcPr>
          <w:p>
            <w:pPr>
              <w:spacing w:after="0" w:line="240"/>
            </w:pPr>
            <w:r>
              <w:rPr>
                <w:sz w:val="17"/>
                <w:szCs w:val="17"/>
              </w:rPr>
              <w:t xml:space="preserve">Backhaul-first; 3 counting/sorting centres</w:t>
            </w:r>
          </w:p>
        </w:tc>
        <w:tc>
          <w:tcPr>
            <w:tcW w:type="dxa" w:w="2914"/>
            <w:shd w:fill="FFFFFF" w:val="clear"/>
            <w:tcMar>
              <w:top w:type="dxa" w:w="80"/>
              <w:left w:type="dxa" w:w="100"/>
              <w:bottom w:type="dxa" w:w="80"/>
              <w:right w:type="dxa" w:w="100"/>
            </w:tcMar>
          </w:tcPr>
          <w:p>
            <w:pPr>
              <w:spacing w:after="0" w:line="240"/>
            </w:pPr>
            <w:r>
              <w:rPr>
                <w:sz w:val="17"/>
                <w:szCs w:val="17"/>
              </w:rPr>
              <w:t xml:space="preserve">AED 108M centres + AED 40M fleet</w:t>
            </w:r>
          </w:p>
        </w:tc>
      </w:tr>
      <w:tr>
        <w:tc>
          <w:tcPr>
            <w:tcW w:type="dxa" w:w="2912"/>
            <w:shd w:fill="F5F1E8" w:val="clear"/>
            <w:tcMar>
              <w:top w:type="dxa" w:w="80"/>
              <w:left w:type="dxa" w:w="100"/>
              <w:bottom w:type="dxa" w:w="80"/>
              <w:right w:type="dxa" w:w="100"/>
            </w:tcMar>
          </w:tcPr>
          <w:p>
            <w:pPr>
              <w:spacing w:after="0" w:line="240"/>
            </w:pPr>
            <w:r>
              <w:rPr>
                <w:sz w:val="17"/>
                <w:szCs w:val="17"/>
              </w:rPr>
              <w:t xml:space="preserve">Offtake</w:t>
            </w:r>
          </w:p>
        </w:tc>
        <w:tc>
          <w:tcPr>
            <w:tcW w:type="dxa" w:w="2912"/>
            <w:shd w:fill="F5F1E8" w:val="clear"/>
            <w:tcMar>
              <w:top w:type="dxa" w:w="80"/>
              <w:left w:type="dxa" w:w="100"/>
              <w:bottom w:type="dxa" w:w="80"/>
              <w:right w:type="dxa" w:w="100"/>
            </w:tcMar>
          </w:tcPr>
          <w:p>
            <w:pPr>
              <w:spacing w:after="0" w:line="240"/>
            </w:pPr>
            <w:r>
              <w:rPr>
                <w:sz w:val="17"/>
                <w:szCs w:val="17"/>
              </w:rPr>
              <w:t xml:space="preserve">Repeet &amp; DGrade (PET); EGA Al Taweelah (cans); glass export</w:t>
            </w:r>
          </w:p>
        </w:tc>
        <w:tc>
          <w:tcPr>
            <w:tcW w:type="dxa" w:w="2914"/>
            <w:shd w:fill="F5F1E8" w:val="clear"/>
            <w:tcMar>
              <w:top w:type="dxa" w:w="80"/>
              <w:left w:type="dxa" w:w="100"/>
              <w:bottom w:type="dxa" w:w="80"/>
              <w:right w:type="dxa" w:w="100"/>
            </w:tcMar>
          </w:tcPr>
          <w:p>
            <w:pPr>
              <w:spacing w:after="0" w:line="240"/>
            </w:pPr>
            <w:r>
              <w:rPr>
                <w:sz w:val="17"/>
                <w:szCs w:val="17"/>
              </w:rPr>
              <w:t xml:space="preserve">Material revenue AED ~331M/yr steady state</w:t>
            </w:r>
          </w:p>
        </w:tc>
      </w:tr>
      <w:tr>
        <w:tc>
          <w:tcPr>
            <w:tcW w:type="dxa" w:w="2912"/>
            <w:shd w:fill="FFFFFF" w:val="clear"/>
            <w:tcMar>
              <w:top w:type="dxa" w:w="80"/>
              <w:left w:type="dxa" w:w="100"/>
              <w:bottom w:type="dxa" w:w="80"/>
              <w:right w:type="dxa" w:w="100"/>
            </w:tcMar>
          </w:tcPr>
          <w:p>
            <w:pPr>
              <w:spacing w:after="0" w:line="240"/>
            </w:pPr>
            <w:r>
              <w:rPr>
                <w:sz w:val="17"/>
                <w:szCs w:val="17"/>
              </w:rPr>
              <w:t xml:space="preserve">IT</w:t>
            </w:r>
          </w:p>
        </w:tc>
        <w:tc>
          <w:tcPr>
            <w:tcW w:type="dxa" w:w="2912"/>
            <w:shd w:fill="FFFFFF" w:val="clear"/>
            <w:tcMar>
              <w:top w:type="dxa" w:w="80"/>
              <w:left w:type="dxa" w:w="100"/>
              <w:bottom w:type="dxa" w:w="80"/>
              <w:right w:type="dxa" w:w="100"/>
            </w:tcMar>
          </w:tcPr>
          <w:p>
            <w:pPr>
              <w:spacing w:after="0" w:line="240"/>
            </w:pPr>
            <w:r>
              <w:rPr>
                <w:sz w:val="17"/>
                <w:szCs w:val="17"/>
              </w:rPr>
              <w:t xml:space="preserve">Central registration, real-time clearing, fraud control, ministry reporting</w:t>
            </w:r>
          </w:p>
        </w:tc>
        <w:tc>
          <w:tcPr>
            <w:tcW w:type="dxa" w:w="2914"/>
            <w:shd w:fill="FFFFFF" w:val="clear"/>
            <w:tcMar>
              <w:top w:type="dxa" w:w="80"/>
              <w:left w:type="dxa" w:w="100"/>
              <w:bottom w:type="dxa" w:w="80"/>
              <w:right w:type="dxa" w:w="100"/>
            </w:tcMar>
          </w:tcPr>
          <w:p>
            <w:pPr>
              <w:spacing w:after="0" w:line="240"/>
            </w:pPr>
            <w:r>
              <w:rPr>
                <w:sz w:val="17"/>
                <w:szCs w:val="17"/>
              </w:rPr>
              <w:t xml:space="preserve">AED 30M capex; 6-12-month build</w:t>
            </w:r>
          </w:p>
        </w:tc>
      </w:tr>
      <w:tr>
        <w:tc>
          <w:tcPr>
            <w:tcW w:type="dxa" w:w="2912"/>
            <w:shd w:fill="F5F1E8" w:val="clear"/>
            <w:tcMar>
              <w:top w:type="dxa" w:w="80"/>
              <w:left w:type="dxa" w:w="100"/>
              <w:bottom w:type="dxa" w:w="80"/>
              <w:right w:type="dxa" w:w="100"/>
            </w:tcMar>
          </w:tcPr>
          <w:p>
            <w:pPr>
              <w:spacing w:after="0" w:line="240"/>
            </w:pPr>
            <w:r>
              <w:rPr>
                <w:sz w:val="17"/>
                <w:szCs w:val="17"/>
              </w:rPr>
              <w:t xml:space="preserve">Consumer</w:t>
            </w:r>
          </w:p>
        </w:tc>
        <w:tc>
          <w:tcPr>
            <w:tcW w:type="dxa" w:w="2912"/>
            <w:shd w:fill="F5F1E8" w:val="clear"/>
            <w:tcMar>
              <w:top w:type="dxa" w:w="80"/>
              <w:left w:type="dxa" w:w="100"/>
              <w:bottom w:type="dxa" w:w="80"/>
              <w:right w:type="dxa" w:w="100"/>
            </w:tcMar>
          </w:tcPr>
          <w:p>
            <w:pPr>
              <w:spacing w:after="0" w:line="240"/>
            </w:pPr>
            <w:r>
              <w:rPr>
                <w:sz w:val="17"/>
                <w:szCs w:val="17"/>
              </w:rPr>
              <w:t xml:space="preserve">Voucher / cash / digital wallet / charity donation</w:t>
            </w:r>
          </w:p>
        </w:tc>
        <w:tc>
          <w:tcPr>
            <w:tcW w:type="dxa" w:w="2914"/>
            <w:shd w:fill="F5F1E8" w:val="clear"/>
            <w:tcMar>
              <w:top w:type="dxa" w:w="80"/>
              <w:left w:type="dxa" w:w="100"/>
              <w:bottom w:type="dxa" w:w="80"/>
              <w:right w:type="dxa" w:w="100"/>
            </w:tcMar>
          </w:tcPr>
          <w:p>
            <w:pPr>
              <w:spacing w:after="0" w:line="240"/>
            </w:pPr>
            <w:r>
              <w:rPr>
                <w:sz w:val="17"/>
                <w:szCs w:val="17"/>
              </w:rPr>
              <w:t xml:space="preserve">AED 0.25 instant refund</w:t>
            </w:r>
          </w:p>
        </w:tc>
      </w:tr>
      <w:tr>
        <w:tc>
          <w:tcPr>
            <w:tcW w:type="dxa" w:w="2912"/>
            <w:shd w:fill="FFFFFF" w:val="clear"/>
            <w:tcMar>
              <w:top w:type="dxa" w:w="80"/>
              <w:left w:type="dxa" w:w="100"/>
              <w:bottom w:type="dxa" w:w="80"/>
              <w:right w:type="dxa" w:w="100"/>
            </w:tcMar>
          </w:tcPr>
          <w:p>
            <w:pPr>
              <w:spacing w:after="0" w:line="240"/>
            </w:pPr>
            <w:r>
              <w:rPr>
                <w:sz w:val="17"/>
                <w:szCs w:val="17"/>
              </w:rPr>
              <w:t xml:space="preserve">Unredeemed deposits</w:t>
            </w:r>
          </w:p>
        </w:tc>
        <w:tc>
          <w:tcPr>
            <w:tcW w:type="dxa" w:w="2912"/>
            <w:shd w:fill="FFFFFF" w:val="clear"/>
            <w:tcMar>
              <w:top w:type="dxa" w:w="80"/>
              <w:left w:type="dxa" w:w="100"/>
              <w:bottom w:type="dxa" w:w="80"/>
              <w:right w:type="dxa" w:w="100"/>
            </w:tcMar>
          </w:tcPr>
          <w:p>
            <w:pPr>
              <w:spacing w:after="0" w:line="240"/>
            </w:pPr>
            <w:r>
              <w:rPr>
                <w:sz w:val="17"/>
                <w:szCs w:val="17"/>
              </w:rPr>
              <w:t xml:space="preserve">Transparent escrow; restricted uses; public reporting; </w:t>
            </w:r>
            <w:r>
              <w:rPr>
                <w:b/>
                <w:bCs/>
                <w:sz w:val="17"/>
                <w:szCs w:val="17"/>
              </w:rPr>
              <w:t xml:space="preserve">Segen takes zero</w:t>
            </w:r>
          </w:p>
        </w:tc>
        <w:tc>
          <w:tcPr>
            <w:tcW w:type="dxa" w:w="2914"/>
            <w:shd w:fill="FFFFFF" w:val="clear"/>
            <w:tcMar>
              <w:top w:type="dxa" w:w="80"/>
              <w:left w:type="dxa" w:w="100"/>
              <w:bottom w:type="dxa" w:w="80"/>
              <w:right w:type="dxa" w:w="100"/>
            </w:tcMar>
          </w:tcPr>
          <w:p>
            <w:pPr>
              <w:spacing w:after="0" w:line="240"/>
            </w:pPr>
            <w:r>
              <w:rPr>
                <w:sz w:val="17"/>
                <w:szCs w:val="17"/>
              </w:rPr>
              <w:t xml:space="preserve">AED 421M yr-1 → ~AED 110M/yr at 90%</w:t>
            </w:r>
          </w:p>
        </w:tc>
      </w:tr>
    </w:tbl>
    <w:p>
      <w:pPr>
        <w:spacing w:after="200"/>
      </w:pPr>
      <w:r>
        <w:rPr>
          <w:sz w:val="8"/>
          <w:szCs w:val="8"/>
        </w:rPr>
        <w:t xml:space="preserve"/>
      </w:r>
    </w:p>
    <w:p>
      <w:pPr>
        <w:spacing w:after="160" w:line="300"/>
        <w:jc w:val="both"/>
      </w:pPr>
      <w:r>
        <w:t xml:space="preserve">The system is financeable on these terms - total CAPEX of </w:t>
      </w:r>
      <w:r>
        <w:rPr>
          <w:b/>
          <w:bCs/>
        </w:rPr>
        <w:t xml:space="preserve">AED 664M</w:t>
      </w:r>
      <w:r>
        <w:t xml:space="preserve">, payback in </w:t>
      </w:r>
      <w:r>
        <w:rPr>
          <w:b/>
          <w:bCs/>
        </w:rPr>
        <w:t xml:space="preserve">2031</w:t>
      </w:r>
      <w:r>
        <w:t xml:space="preserve">, and an unlevered project IRR of </w:t>
      </w:r>
      <w:r>
        <w:rPr>
          <w:b/>
          <w:bCs/>
        </w:rPr>
        <w:t xml:space="preserve">27.7%</w:t>
      </w:r>
      <w:r>
        <w:t xml:space="preserve"> - with the complete financial case, revenue architecture and scenario analysis set out in Chapter 10. Chapters 7 and 8 set out the legal pathway and the implementation roadmap to reach national go-live.</w:t>
      </w:r>
    </w:p>
    <w:p>
      <w:pPr>
        <w:pageBreakBefore/>
        <w:spacing w:after="80" w:before="0"/>
      </w:pPr>
      <w:r>
        <w:rPr>
          <w:rFonts w:ascii="Georgia" w:cs="Georgia" w:eastAsia="Georgia" w:hAnsi="Georgia"/>
          <w:b/>
          <w:bCs/>
          <w:color w:val="C9A227"/>
          <w:spacing w:val="40"/>
          <w:sz w:val="20"/>
          <w:szCs w:val="20"/>
        </w:rPr>
        <w:t xml:space="preserve">CHAPTER 7</w:t>
      </w:r>
    </w:p>
    <w:p>
      <w:pPr>
        <w:pStyle w:val="Heading1"/>
        <w:pBdr>
          <w:bottom w:val="single" w:color="C9A227" w:sz="10" w:space="4"/>
        </w:pBdr>
        <w:spacing w:after="280"/>
      </w:pPr>
      <w:r>
        <w:rPr>
          <w:rFonts w:ascii="Georgia" w:cs="Georgia" w:eastAsia="Georgia" w:hAnsi="Georgia"/>
          <w:b/>
          <w:bCs/>
          <w:color w:val="1B2A4A"/>
          <w:sz w:val="44"/>
          <w:szCs w:val="44"/>
        </w:rPr>
        <w:t xml:space="preserve">Regulatory &amp; Legal Framework</w:t>
      </w:r>
    </w:p>
    <w:p>
      <w:pPr>
        <w:pStyle w:val="Heading2"/>
        <w:keepNext/>
        <w:spacing w:after="140" w:before="340"/>
      </w:pPr>
      <w:r>
        <w:rPr>
          <w:rFonts w:ascii="Georgia" w:cs="Georgia" w:eastAsia="Georgia" w:hAnsi="Georgia"/>
          <w:b/>
          <w:bCs/>
          <w:color w:val="1B2A4A"/>
          <w:sz w:val="30"/>
          <w:szCs w:val="30"/>
        </w:rPr>
        <w:t xml:space="preserve">7.1 The legal starting point: an empty shelf, a prepared runway</w:t>
      </w:r>
    </w:p>
    <w:p>
      <w:pPr>
        <w:spacing w:after="160" w:line="300"/>
        <w:jc w:val="both"/>
      </w:pPr>
      <w:r>
        <w:t xml:space="preserve">As of July 2026, the UAE has </w:t>
      </w:r>
      <w:r>
        <w:rPr>
          <w:b/>
          <w:bCs/>
        </w:rPr>
        <w:t xml:space="preserve">no federal Deposit Return System legislation and no binding beverage-container collection target</w:t>
      </w:r>
      <w:r>
        <w:t xml:space="preserve"> (ESG Mena, 2023; research brief R2). Yet the legislative runway is unusually well prepared. Four federal instruments together supply nearly every element a DRS law needs:</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4369"/>
        <w:gridCol w:w="4369"/>
      </w:tblGrid>
      <w:tr>
        <w:trPr>
          <w:tblHeader/>
        </w:trPr>
        <w:tc>
          <w:tcPr>
            <w:tcW w:type="dxa" w:w="4369"/>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Existing instrument</w:t>
            </w:r>
          </w:p>
        </w:tc>
        <w:tc>
          <w:tcPr>
            <w:tcW w:type="dxa" w:w="4369"/>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What it already provides for a DRS</w:t>
            </w:r>
          </w:p>
        </w:tc>
      </w:tr>
      <w:tr>
        <w:tc>
          <w:tcPr>
            <w:tcW w:type="dxa" w:w="4369"/>
            <w:shd w:fill="FFFFFF" w:val="clear"/>
            <w:tcMar>
              <w:top w:type="dxa" w:w="80"/>
              <w:left w:type="dxa" w:w="100"/>
              <w:bottom w:type="dxa" w:w="80"/>
              <w:right w:type="dxa" w:w="100"/>
            </w:tcMar>
          </w:tcPr>
          <w:p>
            <w:pPr>
              <w:spacing w:after="0" w:line="240"/>
            </w:pPr>
            <w:r>
              <w:rPr>
                <w:b/>
                <w:bCs/>
                <w:sz w:val="17"/>
                <w:szCs w:val="17"/>
              </w:rPr>
              <w:t xml:space="preserve">Federal Law No. 12 of 2018 on Integrated Waste Management</w:t>
            </w:r>
          </w:p>
        </w:tc>
        <w:tc>
          <w:tcPr>
            <w:tcW w:type="dxa" w:w="4369"/>
            <w:shd w:fill="FFFFFF" w:val="clear"/>
            <w:tcMar>
              <w:top w:type="dxa" w:w="80"/>
              <w:left w:type="dxa" w:w="100"/>
              <w:bottom w:type="dxa" w:w="80"/>
              <w:right w:type="dxa" w:w="100"/>
            </w:tcMar>
          </w:tcPr>
          <w:p>
            <w:pPr>
              <w:spacing w:after="0" w:line="240"/>
            </w:pPr>
            <w:r>
              <w:rPr>
                <w:sz w:val="17"/>
                <w:szCs w:val="17"/>
              </w:rPr>
              <w:t xml:space="preserve">Anchor federal statute standardising waste management across all seven emirates; the legal basis cited for the incoming EPR framework (ESG WISE, 2025; LuLu Retail Offering Memorandum)</w:t>
            </w:r>
          </w:p>
        </w:tc>
      </w:tr>
      <w:tr>
        <w:tc>
          <w:tcPr>
            <w:tcW w:type="dxa" w:w="4369"/>
            <w:shd w:fill="F5F1E8" w:val="clear"/>
            <w:tcMar>
              <w:top w:type="dxa" w:w="80"/>
              <w:left w:type="dxa" w:w="100"/>
              <w:bottom w:type="dxa" w:w="80"/>
              <w:right w:type="dxa" w:w="100"/>
            </w:tcMar>
          </w:tcPr>
          <w:p>
            <w:pPr>
              <w:spacing w:after="0" w:line="240"/>
            </w:pPr>
            <w:r>
              <w:rPr>
                <w:b/>
                <w:bCs/>
                <w:sz w:val="17"/>
                <w:szCs w:val="17"/>
              </w:rPr>
              <w:t xml:space="preserve">Ministerial Decision No. 380 of 2022</w:t>
            </w:r>
            <w:r>
              <w:rPr>
                <w:sz w:val="17"/>
                <w:szCs w:val="17"/>
              </w:rPr>
              <w:t xml:space="preserve"> (single-use products)</w:t>
            </w:r>
          </w:p>
        </w:tc>
        <w:tc>
          <w:tcPr>
            <w:tcW w:type="dxa" w:w="4369"/>
            <w:shd w:fill="F5F1E8" w:val="clear"/>
            <w:tcMar>
              <w:top w:type="dxa" w:w="80"/>
              <w:left w:type="dxa" w:w="100"/>
              <w:bottom w:type="dxa" w:w="80"/>
              <w:right w:type="dxa" w:w="100"/>
            </w:tcMar>
          </w:tcPr>
          <w:p>
            <w:pPr>
              <w:spacing w:after="0" w:line="240"/>
            </w:pPr>
            <w:r>
              <w:rPr>
                <w:sz w:val="17"/>
                <w:szCs w:val="17"/>
              </w:rPr>
              <w:t xml:space="preserve">Precedent for phased federal product regulation - Phase 1 bag ban (1 Jan 2024) to final-phase ban on cups, cutlery, plates, straws and foam containers (1 Jan 2026) (USDA FAS, 2023; Plastics News, 2026)</w:t>
            </w:r>
          </w:p>
        </w:tc>
      </w:tr>
      <w:tr>
        <w:tc>
          <w:tcPr>
            <w:tcW w:type="dxa" w:w="4369"/>
            <w:shd w:fill="FFFFFF" w:val="clear"/>
            <w:tcMar>
              <w:top w:type="dxa" w:w="80"/>
              <w:left w:type="dxa" w:w="100"/>
              <w:bottom w:type="dxa" w:w="80"/>
              <w:right w:type="dxa" w:w="100"/>
            </w:tcMar>
          </w:tcPr>
          <w:p>
            <w:pPr>
              <w:spacing w:after="0" w:line="240"/>
            </w:pPr>
            <w:r>
              <w:rPr>
                <w:b/>
                <w:bCs/>
                <w:sz w:val="17"/>
                <w:szCs w:val="17"/>
              </w:rPr>
              <w:t xml:space="preserve">UAE Circular Economy Policy 2021-2031</w:t>
            </w:r>
          </w:p>
        </w:tc>
        <w:tc>
          <w:tcPr>
            <w:tcW w:type="dxa" w:w="4369"/>
            <w:shd w:fill="FFFFFF" w:val="clear"/>
            <w:tcMar>
              <w:top w:type="dxa" w:w="80"/>
              <w:left w:type="dxa" w:w="100"/>
              <w:bottom w:type="dxa" w:w="80"/>
              <w:right w:type="dxa" w:w="100"/>
            </w:tcMar>
          </w:tcPr>
          <w:p>
            <w:pPr>
              <w:spacing w:after="0" w:line="240"/>
            </w:pPr>
            <w:r>
              <w:rPr>
                <w:sz w:val="17"/>
                <w:szCs w:val="17"/>
              </w:rPr>
              <w:t xml:space="preserve">Cabinet-approved national framework (26 Jan 2021) co-authored by MOCCAE and the Ministry of Economy; names sustainable consumption a priority area (MOCCAE, 2021)</w:t>
            </w:r>
          </w:p>
        </w:tc>
      </w:tr>
      <w:tr>
        <w:tc>
          <w:tcPr>
            <w:tcW w:type="dxa" w:w="4369"/>
            <w:shd w:fill="F5F1E8" w:val="clear"/>
            <w:tcMar>
              <w:top w:type="dxa" w:w="80"/>
              <w:left w:type="dxa" w:w="100"/>
              <w:bottom w:type="dxa" w:w="80"/>
              <w:right w:type="dxa" w:w="100"/>
            </w:tcMar>
          </w:tcPr>
          <w:p>
            <w:pPr>
              <w:spacing w:after="0" w:line="240"/>
            </w:pPr>
            <w:r>
              <w:rPr>
                <w:b/>
                <w:bCs/>
                <w:sz w:val="17"/>
                <w:szCs w:val="17"/>
              </w:rPr>
              <w:t xml:space="preserve">Federal Decree-Law No. 11 of 2024 (Climate Change Law)</w:t>
            </w:r>
          </w:p>
        </w:tc>
        <w:tc>
          <w:tcPr>
            <w:tcW w:type="dxa" w:w="4369"/>
            <w:shd w:fill="F5F1E8" w:val="clear"/>
            <w:tcMar>
              <w:top w:type="dxa" w:w="80"/>
              <w:left w:type="dxa" w:w="100"/>
              <w:bottom w:type="dxa" w:w="80"/>
              <w:right w:type="dxa" w:w="100"/>
            </w:tcMar>
          </w:tcPr>
          <w:p>
            <w:pPr>
              <w:spacing w:after="0" w:line="240"/>
            </w:pPr>
            <w:r>
              <w:rPr>
                <w:sz w:val="17"/>
                <w:szCs w:val="17"/>
              </w:rPr>
              <w:t xml:space="preserve">GHG measurement, reporting and verification architecture - the statutory home for DRS carbon claims (ESG WISE, 2025)</w:t>
            </w:r>
          </w:p>
        </w:tc>
      </w:tr>
    </w:tbl>
    <w:p>
      <w:pPr>
        <w:spacing w:after="200"/>
      </w:pPr>
      <w:r>
        <w:rPr>
          <w:sz w:val="8"/>
          <w:szCs w:val="8"/>
        </w:rPr>
        <w:t xml:space="preserve"/>
      </w:r>
    </w:p>
    <w:p>
      <w:pPr>
        <w:spacing w:after="160" w:line="300"/>
        <w:jc w:val="both"/>
      </w:pPr>
      <w:r>
        <w:t xml:space="preserve">In parallel, the </w:t>
      </w:r>
      <w:r>
        <w:rPr>
          <w:b/>
          <w:bCs/>
        </w:rPr>
        <w:t xml:space="preserve">National Agenda for Integrated Waste Management 2023-2026</w:t>
      </w:r>
      <w:r>
        <w:t xml:space="preserve"> - 19 strategic projects targeting treatment of 80% of municipal solid waste - has established delivery machinery and ministerial attention around exactly this policy space (WAM, 2024).</w:t>
      </w:r>
    </w:p>
    <w:p>
      <w:pPr>
        <w:spacing w:after="160" w:line="300"/>
        <w:jc w:val="both"/>
      </w:pPr>
      <w:r>
        <w:t xml:space="preserve">The policy logic is now sequential. With the 1 January 2026 single-use plastics ban in force, </w:t>
      </w:r>
      <w:r>
        <w:rPr>
          <w:b/>
          <w:bCs/>
        </w:rPr>
        <w:t xml:space="preserve">PET, metal and glass beverage containers are the dominant remaining single-use packaging stream</w:t>
      </w:r>
      <w:r>
        <w:t xml:space="preserve">. A DRS is the natural policy sequel - and the region's only proven instrument for lifting container collection above 90%, versus kerbside systems that rarely exceed 50% (Reloop, 2026).</w:t>
      </w:r>
    </w:p>
    <w:p>
      <w:pPr>
        <w:pBdr>
          <w:left w:val="single" w:color="C9A227" w:sz="18"/>
        </w:pBdr>
        <w:shd w:fill="F5F1E8" w:val="clear"/>
        <w:spacing w:after="100" w:before="60" w:line="280"/>
        <w:ind w:left="260" w:right="260"/>
      </w:pPr>
      <w:r>
        <w:rPr>
          <w:color w:val="1B2A4A"/>
          <w:sz w:val="20"/>
          <w:szCs w:val="20"/>
        </w:rPr>
        <w:t xml:space="preserve">"The shift to a circular economy will require concerted effort from national and local government, the private sector, and general public… a call to action for all stakeholders."</w:t>
      </w:r>
    </w:p>
    <w:p>
      <w:pPr>
        <w:pBdr>
          <w:left w:val="single" w:color="C9A227" w:sz="18"/>
        </w:pBdr>
        <w:shd w:fill="F5F1E8" w:val="clear"/>
        <w:spacing w:after="100" w:before="60" w:line="280"/>
        <w:ind w:left="260" w:right="260"/>
      </w:pPr>
      <w:r>
        <w:rPr>
          <w:color w:val="1B2A4A"/>
          <w:sz w:val="20"/>
          <w:szCs w:val="20"/>
        </w:rPr>
        <w:t xml:space="preserve">- H.E. Mariam Almheiri's successor-era framing of the Circular Economy Policy launch, MOCCAE (2021)</w:t>
      </w:r>
    </w:p>
    <w:p>
      <w:pPr>
        <w:spacing w:after="120"/>
      </w:pPr>
      <w:r>
        <w:rPr>
          <w:sz w:val="8"/>
          <w:szCs w:val="8"/>
        </w:rPr>
        <w:t xml:space="preserve"/>
      </w:r>
    </w:p>
    <w:p>
      <w:pPr>
        <w:pStyle w:val="Heading2"/>
        <w:keepNext/>
        <w:spacing w:after="140" w:before="340"/>
      </w:pPr>
      <w:r>
        <w:rPr>
          <w:rFonts w:ascii="Georgia" w:cs="Georgia" w:eastAsia="Georgia" w:hAnsi="Georgia"/>
          <w:b/>
          <w:bCs/>
          <w:color w:val="1B2A4A"/>
          <w:sz w:val="30"/>
          <w:szCs w:val="30"/>
        </w:rPr>
        <w:t xml:space="preserve">7.2 Two viable instrument pathways - and a recommended hybrid</w:t>
      </w:r>
    </w:p>
    <w:p>
      <w:pPr>
        <w:pStyle w:val="Heading3"/>
        <w:keepNext/>
        <w:spacing w:after="110" w:before="260"/>
      </w:pPr>
      <w:r>
        <w:rPr>
          <w:rFonts w:ascii="Calibri" w:cs="Calibri" w:eastAsia="Calibri" w:hAnsi="Calibri"/>
          <w:b/>
          <w:bCs/>
          <w:color w:val="4A6580"/>
          <w:sz w:val="24"/>
          <w:szCs w:val="24"/>
        </w:rPr>
        <w:t xml:space="preserve">Option A - Cabinet Resolution under Federal Law No. 12 of 2018</w:t>
      </w:r>
    </w:p>
    <w:p>
      <w:pPr>
        <w:spacing w:after="160" w:line="300"/>
        <w:jc w:val="both"/>
      </w:pPr>
      <w:r>
        <w:t xml:space="preserve">A Cabinet Resolution, issued on the joint proposal of MOCCAE and the Ministry of Economy &amp; Tourism, could establish the DRS as implementing regulation under the existing waste statute. This mirrors how Ministerial Decision No. 380 of 2022 delivered the phased single-use plastics regime.</w:t>
      </w:r>
    </w:p>
    <w:p>
      <w:pPr>
        <w:spacing w:after="90" w:line="290"/>
        <w:ind w:left="380" w:hanging="180"/>
      </w:pPr>
      <w:r>
        <w:rPr>
          <w:b/>
          <w:bCs/>
          <w:color w:val="C9A227"/>
        </w:rPr>
        <w:t xml:space="preserve">• </w:t>
      </w:r>
      <w:r>
        <w:rPr>
          <w:b/>
          <w:bCs/>
        </w:rPr>
        <w:t xml:space="preserve">Advantages:</w:t>
      </w:r>
      <w:r>
        <w:t xml:space="preserve"> speed (no federal legislative cycle); precedent-tested; can be amended annually as fee and deposit levels are reviewed; nests naturally inside the expected 2026 national EPR framework built on the same statute (ESG WISE, 2025).</w:t>
      </w:r>
    </w:p>
    <w:p>
      <w:pPr>
        <w:spacing w:after="90" w:line="290"/>
        <w:ind w:left="380" w:hanging="180"/>
      </w:pPr>
      <w:r>
        <w:rPr>
          <w:b/>
          <w:bCs/>
          <w:color w:val="C9A227"/>
        </w:rPr>
        <w:t xml:space="preserve">• </w:t>
      </w:r>
      <w:r>
        <w:rPr>
          <w:b/>
          <w:bCs/>
        </w:rPr>
        <w:t xml:space="preserve">Limitations:</w:t>
      </w:r>
      <w:r>
        <w:t xml:space="preserve"> subordinate legislation is a weaker foundation for (i) licensing a national system operator with long-duration exclusivity, (ii) mandating escrow and ring-fencing of deposit funds, and (iii) imposing penalties at the AED 100,000-1,000,000 scale reported for EPR reporting violations (ESG WISE, 2025 - single secondary source; verify against the final regulation).</w:t>
      </w:r>
    </w:p>
    <w:p>
      <w:pPr>
        <w:pStyle w:val="Heading3"/>
        <w:keepNext/>
        <w:spacing w:after="110" w:before="260"/>
      </w:pPr>
      <w:r>
        <w:rPr>
          <w:rFonts w:ascii="Calibri" w:cs="Calibri" w:eastAsia="Calibri" w:hAnsi="Calibri"/>
          <w:b/>
          <w:bCs/>
          <w:color w:val="4A6580"/>
          <w:sz w:val="24"/>
          <w:szCs w:val="24"/>
        </w:rPr>
        <w:t xml:space="preserve">Option B - New federal decree-law ("Beverage Container Deposit Return Law")</w:t>
      </w:r>
    </w:p>
    <w:p>
      <w:pPr>
        <w:spacing w:after="160" w:line="300"/>
        <w:jc w:val="both"/>
      </w:pPr>
      <w:r>
        <w:t xml:space="preserve">A dedicated decree-law would give the scheme maximal legal durability: statutory creation of the DSO licence, statutory escrow, statutory collection targets, and full enforcement powers.</w:t>
      </w:r>
    </w:p>
    <w:p>
      <w:pPr>
        <w:spacing w:after="90" w:line="290"/>
        <w:ind w:left="380" w:hanging="180"/>
      </w:pPr>
      <w:r>
        <w:rPr>
          <w:b/>
          <w:bCs/>
          <w:color w:val="C9A227"/>
        </w:rPr>
        <w:t xml:space="preserve">• </w:t>
      </w:r>
      <w:r>
        <w:rPr>
          <w:b/>
          <w:bCs/>
        </w:rPr>
        <w:t xml:space="preserve">Advantages:</w:t>
      </w:r>
      <w:r>
        <w:t xml:space="preserve"> strongest investor certainty for an </w:t>
      </w:r>
      <w:r>
        <w:rPr>
          <w:b/>
          <w:bCs/>
        </w:rPr>
        <w:t xml:space="preserve">AED 664 million</w:t>
      </w:r>
      <w:r>
        <w:t xml:space="preserve"> capital programme (R7); clean authority for escrow ring-fencing and audit; alignment with the Lithuania model, where a dedicated packaging law (May 2014) preceded launch (USAD, 2019).</w:t>
      </w:r>
    </w:p>
    <w:p>
      <w:pPr>
        <w:spacing w:after="90" w:line="290"/>
        <w:ind w:left="380" w:hanging="180"/>
      </w:pPr>
      <w:r>
        <w:rPr>
          <w:b/>
          <w:bCs/>
          <w:color w:val="C9A227"/>
        </w:rPr>
        <w:t xml:space="preserve">• </w:t>
      </w:r>
      <w:r>
        <w:rPr>
          <w:b/>
          <w:bCs/>
        </w:rPr>
        <w:t xml:space="preserve">Limitations:</w:t>
      </w:r>
      <w:r>
        <w:t xml:space="preserve"> longer passage; risk of re-opening scope debates (glass inclusion, deposit level) late in the process - the dynamic that stalled Spain's legally-mandated SDDR even after Royal Decree 1055/2022 (RTVE, 2024; PPWR Atlas, 2026).</w:t>
      </w:r>
    </w:p>
    <w:p>
      <w:pPr>
        <w:pStyle w:val="Heading3"/>
        <w:keepNext/>
        <w:spacing w:after="110" w:before="260"/>
      </w:pPr>
      <w:r>
        <w:rPr>
          <w:rFonts w:ascii="Calibri" w:cs="Calibri" w:eastAsia="Calibri" w:hAnsi="Calibri"/>
          <w:b/>
          <w:bCs/>
          <w:color w:val="4A6580"/>
          <w:sz w:val="24"/>
          <w:szCs w:val="24"/>
        </w:rPr>
        <w:t xml:space="preserve">Recommended hybrid: resolve fast, entrench later</w:t>
      </w:r>
    </w:p>
    <w:p>
      <w:pPr>
        <w:spacing w:after="160" w:line="300"/>
        <w:jc w:val="both"/>
      </w:pPr>
      <w:r>
        <w:rPr>
          <w:b/>
          <w:bCs/>
        </w:rPr>
        <w:t xml:space="preserve">Phase the instruments.</w:t>
      </w:r>
      <w:r>
        <w:t xml:space="preserve"> Issue a </w:t>
      </w:r>
      <w:r>
        <w:rPr>
          <w:b/>
          <w:bCs/>
        </w:rPr>
        <w:t xml:space="preserve">Cabinet Resolution under Federal Law No. 12 of 2018 in 2027</w:t>
      </w:r>
      <w:r>
        <w:t xml:space="preserve"> to launch the scheme, DSO licensing, escrow and reporting; simultaneously begin drafting a </w:t>
      </w:r>
      <w:r>
        <w:rPr>
          <w:b/>
          <w:bCs/>
        </w:rPr>
        <w:t xml:space="preserve">federal decree-law to entrench the regime by 2029-2030</w:t>
      </w:r>
      <w:r>
        <w:t xml:space="preserve">, once operational data exists and the EPR framework's final form is known. This is the pragmatic middle path between Scotland's over-built legal structure that collapsed on a trade-law conflict (Insider, 2023) and Spain's under-specified mandate that stalled on operator authorisation (PPWR Atlas, 2026).</w:t>
      </w:r>
    </w:p>
    <w:p>
      <w:pPr>
        <w:spacing w:after="160" w:line="300"/>
        <w:jc w:val="both"/>
      </w:pPr>
      <w:r>
        <w:t xml:space="preserve">[DATA GAP: No UAE federal DRS bill, draft regulation, or official public consultation has been published as of 26 July 2026 (R2 §3.1). This chapter's pathway analysis is therefore a proposal, not a description of a live process.]</w:t>
      </w:r>
    </w:p>
    <w:p>
      <w:pPr>
        <w:pStyle w:val="Heading2"/>
        <w:keepNext/>
        <w:spacing w:after="140" w:before="340"/>
      </w:pPr>
      <w:r>
        <w:rPr>
          <w:rFonts w:ascii="Georgia" w:cs="Georgia" w:eastAsia="Georgia" w:hAnsi="Georgia"/>
          <w:b/>
          <w:bCs/>
          <w:color w:val="1B2A4A"/>
          <w:sz w:val="30"/>
          <w:szCs w:val="30"/>
        </w:rPr>
        <w:t xml:space="preserve">7.3 Institutional roles: a two-ministry sponsorship</w:t>
      </w:r>
    </w:p>
    <w:p>
      <w:pPr>
        <w:spacing w:after="160" w:line="300"/>
        <w:jc w:val="both"/>
      </w:pPr>
      <w:r>
        <w:t xml:space="preserve">The study is addressed jointly to the two ministries whose mandates the DRS straddles:</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2912"/>
        <w:gridCol w:w="2912"/>
        <w:gridCol w:w="2914"/>
      </w:tblGrid>
      <w:tr>
        <w:trPr>
          <w:tblHeader/>
        </w:trPr>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Institution</w:t>
            </w:r>
          </w:p>
        </w:tc>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Proposed DRS role</w:t>
            </w:r>
          </w:p>
        </w:tc>
        <w:tc>
          <w:tcPr>
            <w:tcW w:type="dxa" w:w="291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Basis</w:t>
            </w:r>
          </w:p>
        </w:tc>
      </w:tr>
      <w:tr>
        <w:tc>
          <w:tcPr>
            <w:tcW w:type="dxa" w:w="2912"/>
            <w:shd w:fill="FFFFFF" w:val="clear"/>
            <w:tcMar>
              <w:top w:type="dxa" w:w="80"/>
              <w:left w:type="dxa" w:w="100"/>
              <w:bottom w:type="dxa" w:w="80"/>
              <w:right w:type="dxa" w:w="100"/>
            </w:tcMar>
          </w:tcPr>
          <w:p>
            <w:pPr>
              <w:spacing w:after="0" w:line="240"/>
            </w:pPr>
            <w:r>
              <w:rPr>
                <w:b/>
                <w:bCs/>
                <w:sz w:val="17"/>
                <w:szCs w:val="17"/>
              </w:rPr>
              <w:t xml:space="preserve">MOCCAE</w:t>
            </w:r>
            <w:r>
              <w:rPr>
                <w:sz w:val="17"/>
                <w:szCs w:val="17"/>
              </w:rPr>
              <w:t xml:space="preserve"> (Minister: Dr. Amna bint Abdullah Al Dahak)</w:t>
            </w:r>
          </w:p>
        </w:tc>
        <w:tc>
          <w:tcPr>
            <w:tcW w:type="dxa" w:w="2912"/>
            <w:shd w:fill="FFFFFF" w:val="clear"/>
            <w:tcMar>
              <w:top w:type="dxa" w:w="80"/>
              <w:left w:type="dxa" w:w="100"/>
              <w:bottom w:type="dxa" w:w="80"/>
              <w:right w:type="dxa" w:w="100"/>
            </w:tcMar>
          </w:tcPr>
          <w:p>
            <w:pPr>
              <w:spacing w:after="0" w:line="240"/>
            </w:pPr>
            <w:r>
              <w:rPr>
                <w:sz w:val="17"/>
                <w:szCs w:val="17"/>
              </w:rPr>
              <w:t xml:space="preserve">Lead regulator: federal waste policy, single-use plastics regime, EPR programme, environmental targets, MRV of outcomes</w:t>
            </w:r>
          </w:p>
        </w:tc>
        <w:tc>
          <w:tcPr>
            <w:tcW w:type="dxa" w:w="2914"/>
            <w:shd w:fill="FFFFFF" w:val="clear"/>
            <w:tcMar>
              <w:top w:type="dxa" w:w="80"/>
              <w:left w:type="dxa" w:w="100"/>
              <w:bottom w:type="dxa" w:w="80"/>
              <w:right w:type="dxa" w:w="100"/>
            </w:tcMar>
          </w:tcPr>
          <w:p>
            <w:pPr>
              <w:spacing w:after="0" w:line="240"/>
            </w:pPr>
            <w:r>
              <w:rPr>
                <w:sz w:val="17"/>
                <w:szCs w:val="17"/>
              </w:rPr>
              <w:t xml:space="preserve">Owns Federal Law 12/2018 implementation and signed the 2025 EPR pilot with Tadweer as PRO (Gulf News, 2025)</w:t>
            </w:r>
          </w:p>
        </w:tc>
      </w:tr>
      <w:tr>
        <w:tc>
          <w:tcPr>
            <w:tcW w:type="dxa" w:w="2912"/>
            <w:shd w:fill="F5F1E8" w:val="clear"/>
            <w:tcMar>
              <w:top w:type="dxa" w:w="80"/>
              <w:left w:type="dxa" w:w="100"/>
              <w:bottom w:type="dxa" w:w="80"/>
              <w:right w:type="dxa" w:w="100"/>
            </w:tcMar>
          </w:tcPr>
          <w:p>
            <w:pPr>
              <w:spacing w:after="0" w:line="240"/>
            </w:pPr>
            <w:r>
              <w:rPr>
                <w:b/>
                <w:bCs/>
                <w:sz w:val="17"/>
                <w:szCs w:val="17"/>
              </w:rPr>
              <w:t xml:space="preserve">Ministry of Economy &amp; Tourism</w:t>
            </w:r>
            <w:r>
              <w:rPr>
                <w:sz w:val="17"/>
                <w:szCs w:val="17"/>
              </w:rPr>
              <w:t xml:space="preserve"> (Minister: H.E. Abdulla bin Touq Al Marri)</w:t>
            </w:r>
          </w:p>
        </w:tc>
        <w:tc>
          <w:tcPr>
            <w:tcW w:type="dxa" w:w="2912"/>
            <w:shd w:fill="F5F1E8" w:val="clear"/>
            <w:tcMar>
              <w:top w:type="dxa" w:w="80"/>
              <w:left w:type="dxa" w:w="100"/>
              <w:bottom w:type="dxa" w:w="80"/>
              <w:right w:type="dxa" w:w="100"/>
            </w:tcMar>
          </w:tcPr>
          <w:p>
            <w:pPr>
              <w:spacing w:after="0" w:line="240"/>
            </w:pPr>
            <w:r>
              <w:rPr>
                <w:sz w:val="17"/>
                <w:szCs w:val="17"/>
              </w:rPr>
              <w:t xml:space="preserve">Co-sponsor: producer/importer registration interface, trade and market-conduct oversight, chair of the UAE Circular Economy Council</w:t>
            </w:r>
          </w:p>
        </w:tc>
        <w:tc>
          <w:tcPr>
            <w:tcW w:type="dxa" w:w="2914"/>
            <w:shd w:fill="F5F1E8" w:val="clear"/>
            <w:tcMar>
              <w:top w:type="dxa" w:w="80"/>
              <w:left w:type="dxa" w:w="100"/>
              <w:bottom w:type="dxa" w:w="80"/>
              <w:right w:type="dxa" w:w="100"/>
            </w:tcMar>
          </w:tcPr>
          <w:p>
            <w:pPr>
              <w:spacing w:after="0" w:line="240"/>
            </w:pPr>
            <w:r>
              <w:rPr>
                <w:sz w:val="17"/>
                <w:szCs w:val="17"/>
              </w:rPr>
              <w:t xml:space="preserve">Chaired the Council's first restructured meeting on 9 Dec 2024, covering the Aluminium Recycling Coalition and Circular Economy Innovation Platform (UAE Ministry of Economy, 2024)</w:t>
            </w:r>
          </w:p>
        </w:tc>
      </w:tr>
      <w:tr>
        <w:tc>
          <w:tcPr>
            <w:tcW w:type="dxa" w:w="2912"/>
            <w:shd w:fill="FFFFFF" w:val="clear"/>
            <w:tcMar>
              <w:top w:type="dxa" w:w="80"/>
              <w:left w:type="dxa" w:w="100"/>
              <w:bottom w:type="dxa" w:w="80"/>
              <w:right w:type="dxa" w:w="100"/>
            </w:tcMar>
          </w:tcPr>
          <w:p>
            <w:pPr>
              <w:spacing w:after="0" w:line="240"/>
            </w:pPr>
            <w:r>
              <w:rPr>
                <w:b/>
                <w:bCs/>
                <w:sz w:val="17"/>
                <w:szCs w:val="17"/>
              </w:rPr>
              <w:t xml:space="preserve">UAE Circular Economy Council</w:t>
            </w:r>
          </w:p>
        </w:tc>
        <w:tc>
          <w:tcPr>
            <w:tcW w:type="dxa" w:w="2912"/>
            <w:shd w:fill="FFFFFF" w:val="clear"/>
            <w:tcMar>
              <w:top w:type="dxa" w:w="80"/>
              <w:left w:type="dxa" w:w="100"/>
              <w:bottom w:type="dxa" w:w="80"/>
              <w:right w:type="dxa" w:w="100"/>
            </w:tcMar>
          </w:tcPr>
          <w:p>
            <w:pPr>
              <w:spacing w:after="0" w:line="240"/>
            </w:pPr>
            <w:r>
              <w:rPr>
                <w:sz w:val="17"/>
                <w:szCs w:val="17"/>
              </w:rPr>
              <w:t xml:space="preserve">Standing governance forum for DRS policy review (deposit level, fee reviews, scope extensions)</w:t>
            </w:r>
          </w:p>
        </w:tc>
        <w:tc>
          <w:tcPr>
            <w:tcW w:type="dxa" w:w="2914"/>
            <w:shd w:fill="FFFFFF" w:val="clear"/>
            <w:tcMar>
              <w:top w:type="dxa" w:w="80"/>
              <w:left w:type="dxa" w:w="100"/>
              <w:bottom w:type="dxa" w:w="80"/>
              <w:right w:type="dxa" w:w="100"/>
            </w:tcMar>
          </w:tcPr>
          <w:p>
            <w:pPr>
              <w:spacing w:after="0" w:line="240"/>
            </w:pPr>
            <w:r>
              <w:rPr>
                <w:sz w:val="17"/>
                <w:szCs w:val="17"/>
              </w:rPr>
              <w:t xml:space="preserve">Existing cross-government body (UAE Ministry of Economy, 2024)</w:t>
            </w:r>
          </w:p>
        </w:tc>
      </w:tr>
      <w:tr>
        <w:tc>
          <w:tcPr>
            <w:tcW w:type="dxa" w:w="2912"/>
            <w:shd w:fill="F5F1E8" w:val="clear"/>
            <w:tcMar>
              <w:top w:type="dxa" w:w="80"/>
              <w:left w:type="dxa" w:w="100"/>
              <w:bottom w:type="dxa" w:w="80"/>
              <w:right w:type="dxa" w:w="100"/>
            </w:tcMar>
          </w:tcPr>
          <w:p>
            <w:pPr>
              <w:spacing w:after="0" w:line="240"/>
            </w:pPr>
            <w:r>
              <w:rPr>
                <w:b/>
                <w:bCs/>
                <w:sz w:val="17"/>
                <w:szCs w:val="17"/>
              </w:rPr>
              <w:t xml:space="preserve">Emirate environment &amp; waste authorities</w:t>
            </w:r>
            <w:r>
              <w:rPr>
                <w:sz w:val="17"/>
                <w:szCs w:val="17"/>
              </w:rPr>
              <w:t xml:space="preserve"> (EAD, Dubai Municipality, Sharjah/BEEAH, others)</w:t>
            </w:r>
          </w:p>
        </w:tc>
        <w:tc>
          <w:tcPr>
            <w:tcW w:type="dxa" w:w="2912"/>
            <w:shd w:fill="F5F1E8" w:val="clear"/>
            <w:tcMar>
              <w:top w:type="dxa" w:w="80"/>
              <w:left w:type="dxa" w:w="100"/>
              <w:bottom w:type="dxa" w:w="80"/>
              <w:right w:type="dxa" w:w="100"/>
            </w:tcMar>
          </w:tcPr>
          <w:p>
            <w:pPr>
              <w:spacing w:after="0" w:line="240"/>
            </w:pPr>
            <w:r>
              <w:rPr>
                <w:sz w:val="17"/>
                <w:szCs w:val="17"/>
              </w:rPr>
              <w:t xml:space="preserve">Implementation partners: siting, licensing of collection points, municipal logistics interfaces, local enforcement</w:t>
            </w:r>
          </w:p>
        </w:tc>
        <w:tc>
          <w:tcPr>
            <w:tcW w:type="dxa" w:w="2914"/>
            <w:shd w:fill="F5F1E8" w:val="clear"/>
            <w:tcMar>
              <w:top w:type="dxa" w:w="80"/>
              <w:left w:type="dxa" w:w="100"/>
              <w:bottom w:type="dxa" w:w="80"/>
              <w:right w:type="dxa" w:w="100"/>
            </w:tcMar>
          </w:tcPr>
          <w:p>
            <w:pPr>
              <w:spacing w:after="0" w:line="240"/>
            </w:pPr>
            <w:r>
              <w:rPr>
                <w:sz w:val="17"/>
                <w:szCs w:val="17"/>
              </w:rPr>
              <w:t xml:space="preserve">See §7.4</w:t>
            </w:r>
          </w:p>
        </w:tc>
      </w:tr>
      <w:tr>
        <w:tc>
          <w:tcPr>
            <w:tcW w:type="dxa" w:w="2912"/>
            <w:shd w:fill="FFFFFF" w:val="clear"/>
            <w:tcMar>
              <w:top w:type="dxa" w:w="80"/>
              <w:left w:type="dxa" w:w="100"/>
              <w:bottom w:type="dxa" w:w="80"/>
              <w:right w:type="dxa" w:w="100"/>
            </w:tcMar>
          </w:tcPr>
          <w:p>
            <w:pPr>
              <w:spacing w:after="0" w:line="240"/>
            </w:pPr>
            <w:r>
              <w:rPr>
                <w:b/>
                <w:bCs/>
                <w:sz w:val="17"/>
                <w:szCs w:val="17"/>
              </w:rPr>
              <w:t xml:space="preserve">DSO (licensed operator)</w:t>
            </w:r>
          </w:p>
        </w:tc>
        <w:tc>
          <w:tcPr>
            <w:tcW w:type="dxa" w:w="2912"/>
            <w:shd w:fill="FFFFFF" w:val="clear"/>
            <w:tcMar>
              <w:top w:type="dxa" w:w="80"/>
              <w:left w:type="dxa" w:w="100"/>
              <w:bottom w:type="dxa" w:w="80"/>
              <w:right w:type="dxa" w:w="100"/>
            </w:tcMar>
          </w:tcPr>
          <w:p>
            <w:pPr>
              <w:spacing w:after="0" w:line="240"/>
            </w:pPr>
            <w:r>
              <w:rPr>
                <w:sz w:val="17"/>
                <w:szCs w:val="17"/>
              </w:rPr>
              <w:t xml:space="preserve">Not-for-profit system operator: registration, clearing, escrow administration, logistics, reporting</w:t>
            </w:r>
          </w:p>
        </w:tc>
        <w:tc>
          <w:tcPr>
            <w:tcW w:type="dxa" w:w="2914"/>
            <w:shd w:fill="FFFFFF" w:val="clear"/>
            <w:tcMar>
              <w:top w:type="dxa" w:w="80"/>
              <w:left w:type="dxa" w:w="100"/>
              <w:bottom w:type="dxa" w:w="80"/>
              <w:right w:type="dxa" w:w="100"/>
            </w:tcMar>
          </w:tcPr>
          <w:p>
            <w:pPr>
              <w:spacing w:after="0" w:line="240"/>
            </w:pPr>
            <w:r>
              <w:rPr>
                <w:sz w:val="17"/>
                <w:szCs w:val="17"/>
              </w:rPr>
              <w:t xml:space="preserve">Single centralised not-for-profit PRO is the dominant best-practice model (Reloop GDB, 2024)</w:t>
            </w:r>
          </w:p>
        </w:tc>
      </w:tr>
    </w:tbl>
    <w:p>
      <w:pPr>
        <w:spacing w:after="200"/>
      </w:pPr>
      <w:r>
        <w:rPr>
          <w:sz w:val="8"/>
          <w:szCs w:val="8"/>
        </w:rPr>
        <w:t xml:space="preserve"/>
      </w:r>
    </w:p>
    <w:p>
      <w:pPr>
        <w:pStyle w:val="Heading2"/>
        <w:keepNext/>
        <w:spacing w:after="140" w:before="340"/>
      </w:pPr>
      <w:r>
        <w:rPr>
          <w:rFonts w:ascii="Georgia" w:cs="Georgia" w:eastAsia="Georgia" w:hAnsi="Georgia"/>
          <w:b/>
          <w:bCs/>
          <w:color w:val="1B2A4A"/>
          <w:sz w:val="30"/>
          <w:szCs w:val="30"/>
        </w:rPr>
        <w:t xml:space="preserve">7.4 Emirate-level implementation agreements</w:t>
      </w:r>
    </w:p>
    <w:p>
      <w:pPr>
        <w:spacing w:after="160" w:line="300"/>
        <w:jc w:val="both"/>
      </w:pPr>
      <w:r>
        <w:t xml:space="preserve">A federal DRS operates physically at emirate level. The legislative package should be accompanied by </w:t>
      </w:r>
      <w:r>
        <w:rPr>
          <w:b/>
          <w:bCs/>
        </w:rPr>
        <w:t xml:space="preserve">implementation agreements</w:t>
      </w:r>
      <w:r>
        <w:t xml:space="preserve"> with each emirate's waste authority, modelled on the structures already in place:</w:t>
      </w:r>
    </w:p>
    <w:p>
      <w:pPr>
        <w:spacing w:after="90" w:line="290"/>
        <w:ind w:left="380" w:hanging="180"/>
      </w:pPr>
      <w:r>
        <w:rPr>
          <w:b/>
          <w:bCs/>
          <w:color w:val="C9A227"/>
        </w:rPr>
        <w:t xml:space="preserve">• </w:t>
      </w:r>
      <w:r>
        <w:rPr>
          <w:b/>
          <w:bCs/>
        </w:rPr>
        <w:t xml:space="preserve">Abu Dhabi - Tadweer Group.</w:t>
      </w:r>
      <w:r>
        <w:t xml:space="preserve"> The natural lead partner: Tadweer already acts as PRO for the federal EPR pilot covering packaging (Gulf News, 2025), holds the TOMRA MoU for a bottle-returns programme covering PET, glass and cans (Tadweer Group, 2024), operates 25 RVMs linked to its rewards platform (Gulf News, 2024), and is building a 1.3 Mt/yr MRF within a "circular cluster" (Plant Machinery Vehicles, 2025). The DRS's Abu Dhabi counting centre (one of three in the CAPEX plan, R7) should be co-located with Tadweer infrastructure.</w:t>
      </w:r>
    </w:p>
    <w:p>
      <w:pPr>
        <w:spacing w:after="90" w:line="290"/>
        <w:ind w:left="380" w:hanging="180"/>
      </w:pPr>
      <w:r>
        <w:rPr>
          <w:b/>
          <w:bCs/>
          <w:color w:val="C9A227"/>
        </w:rPr>
        <w:t xml:space="preserve">• </w:t>
      </w:r>
      <w:r>
        <w:rPr>
          <w:b/>
          <w:bCs/>
        </w:rPr>
        <w:t xml:space="preserve">Dubai - Dubai Municipality.</w:t>
      </w:r>
      <w:r>
        <w:t xml:space="preserve"> Law No. (18) of 2024 Regulating Waste Management already mandates source segregation and licenses haulers - the local statutory hook for DRS collection-point licensing (Dubai Legislation Portal, 2024). Dubai's Integrated Waste Management Strategy 2021-2041 targets zero waste to landfill by 2041; a DRS is the highest-yield single instrument toward that target for the beverage stream (P&amp;S Intelligence, 2025). Dubai Municipality has run its own RVM pilot (Kiosk Marketplace, 2023).</w:t>
      </w:r>
    </w:p>
    <w:p>
      <w:pPr>
        <w:spacing w:after="90" w:line="290"/>
        <w:ind w:left="380" w:hanging="180"/>
      </w:pPr>
      <w:r>
        <w:rPr>
          <w:b/>
          <w:bCs/>
          <w:color w:val="C9A227"/>
        </w:rPr>
        <w:t xml:space="preserve">• </w:t>
      </w:r>
      <w:r>
        <w:rPr>
          <w:b/>
          <w:bCs/>
        </w:rPr>
        <w:t xml:space="preserve">Sharjah - BEEAH Group.</w:t>
      </w:r>
      <w:r>
        <w:t xml:space="preserve"> ~90% landfill diversion already claimed (BEEAH, 2023 - company-reported); the northern-emirates counting centre should interface with BEEAH's material-processing footprint.</w:t>
      </w:r>
    </w:p>
    <w:p>
      <w:pPr>
        <w:spacing w:after="90" w:line="290"/>
        <w:ind w:left="380" w:hanging="180"/>
      </w:pPr>
      <w:r>
        <w:rPr>
          <w:b/>
          <w:bCs/>
          <w:color w:val="C9A227"/>
        </w:rPr>
        <w:t xml:space="preserve">• </w:t>
      </w:r>
      <w:r>
        <w:rPr>
          <w:b/>
          <w:bCs/>
        </w:rPr>
        <w:t xml:space="preserve">Northern emirates.</w:t>
      </w:r>
      <w:r>
        <w:t xml:space="preserve"> Served via the third counting centre and retail-network obligations; no emirate should be exempted - day-one national coverage is the proven launch pattern (Lithuania 2016, Slovakia 2022, Romania 2023, Hungary 2024, Ireland 2024, Austria 2025) (Reloop, 2026).</w:t>
      </w:r>
    </w:p>
    <w:p>
      <w:pPr>
        <w:spacing w:after="160" w:line="300"/>
        <w:jc w:val="both"/>
      </w:pPr>
      <w:r>
        <w:t xml:space="preserve">Each agreement should cover: siting approvals for RVMs and counting centres; integration with municipal collection logistics; data-sharing obligations; and local enforcement delegation. </w:t>
      </w:r>
      <w:r>
        <w:rPr>
          <w:b/>
          <w:bCs/>
        </w:rPr>
        <w:t xml:space="preserve">Legal alignment across emirates must be secured before operator contracts are signed</w:t>
      </w:r>
      <w:r>
        <w:t xml:space="preserve"> - Scotland's failure, where the operator collapsed with £86.2m in liabilities after a cross-border legal conflict surfaced, is the standing warning (Insider, 2023).</w:t>
      </w:r>
    </w:p>
    <w:p>
      <w:pPr>
        <w:pStyle w:val="Heading2"/>
        <w:keepNext/>
        <w:spacing w:after="140" w:before="340"/>
      </w:pPr>
      <w:r>
        <w:rPr>
          <w:rFonts w:ascii="Georgia" w:cs="Georgia" w:eastAsia="Georgia" w:hAnsi="Georgia"/>
          <w:b/>
          <w:bCs/>
          <w:color w:val="1B2A4A"/>
          <w:sz w:val="30"/>
          <w:szCs w:val="30"/>
        </w:rPr>
        <w:t xml:space="preserve">7.5 Alignment with the expected 2026 national EPR framework</w:t>
      </w:r>
    </w:p>
    <w:p>
      <w:pPr>
        <w:spacing w:after="160" w:line="300"/>
        <w:jc w:val="both"/>
      </w:pPr>
      <w:r>
        <w:t xml:space="preserve">The single most consequential design decision is to </w:t>
      </w:r>
      <w:r>
        <w:rPr>
          <w:b/>
          <w:bCs/>
        </w:rPr>
        <w:t xml:space="preserve">nest the DRS inside the EPR architecture, not alongside it</w:t>
      </w:r>
      <w:r>
        <w:t xml:space="preserve">. The 3 July 2025 MOCCAE-Tadweer EPR pilot - covering packaging, with Tadweer as PRO and 26 companies participating - creates exactly the institutional machinery (producer registration, reporting, a PRO) into which a deposit system slots (Gulf News, 2025; Packaging MEA, 2025). UAE advisors themselves describe DRS as "the foundation for EPR" (Waste &amp; Recycling MEA, 2026).</w:t>
      </w:r>
    </w:p>
    <w:p>
      <w:pPr>
        <w:spacing w:after="160" w:line="300"/>
        <w:jc w:val="both"/>
      </w:pPr>
      <w:r>
        <w:t xml:space="preserve">Concretely, the DRS legislation should provide that:</w:t>
      </w:r>
    </w:p>
    <w:p>
      <w:pPr>
        <w:spacing w:after="90" w:line="290"/>
        <w:ind w:left="380" w:hanging="180"/>
      </w:pPr>
      <w:r>
        <w:rPr>
          <w:b/>
          <w:bCs/>
          <w:color w:val="1B2A4A"/>
        </w:rPr>
        <w:t xml:space="preserve">1. </w:t>
      </w:r>
      <w:r>
        <w:rPr>
          <w:b/>
          <w:bCs/>
        </w:rPr>
        <w:t xml:space="preserve">Producer registration under the DRS counts as registration under the EPR packaging regime</w:t>
      </w:r>
      <w:r>
        <w:t xml:space="preserve"> - one registry, one reporting portal.</w:t>
      </w:r>
    </w:p>
    <w:p>
      <w:pPr>
        <w:spacing w:after="90" w:line="290"/>
        <w:ind w:left="380" w:hanging="180"/>
      </w:pPr>
      <w:r>
        <w:rPr>
          <w:b/>
          <w:bCs/>
          <w:color w:val="1B2A4A"/>
        </w:rPr>
        <w:t xml:space="preserve">2. </w:t>
      </w:r>
      <w:r>
        <w:rPr>
          <w:b/>
          <w:bCs/>
        </w:rPr>
        <w:t xml:space="preserve">DRS producer fees discharge the producer's EPR financial obligation for in-scope beverage containers</w:t>
      </w:r>
      <w:r>
        <w:t xml:space="preserve"> - no double-charging. Recommended reference fees: </w:t>
      </w:r>
      <w:r>
        <w:rPr>
          <w:b/>
          <w:bCs/>
        </w:rPr>
        <w:t xml:space="preserve">AED 0.20 / 0.08 / 0.24 per PET / aluminium / glass container</w:t>
      </w:r>
      <w:r>
        <w:t xml:space="preserve">, calibrated for steady-state cost recovery (R7; non-binding reference for policymakers).</w:t>
      </w:r>
    </w:p>
    <w:p>
      <w:pPr>
        <w:spacing w:after="90" w:line="290"/>
        <w:ind w:left="380" w:hanging="180"/>
      </w:pPr>
      <w:r>
        <w:rPr>
          <w:b/>
          <w:bCs/>
          <w:color w:val="1B2A4A"/>
        </w:rPr>
        <w:t xml:space="preserve">3. </w:t>
      </w:r>
      <w:r>
        <w:rPr>
          <w:b/>
          <w:bCs/>
        </w:rPr>
        <w:t xml:space="preserve">The DSO's audited return-rate data feeds the EPR target-compliance MRV</w:t>
      </w:r>
      <w:r>
        <w:t xml:space="preserve"> - one data spine for both regimes.</w:t>
      </w:r>
    </w:p>
    <w:p>
      <w:pPr>
        <w:spacing w:after="160" w:line="300"/>
        <w:jc w:val="both"/>
      </w:pPr>
      <w:r>
        <w:t xml:space="preserve">This integration is also the financial keystone: because unredeemed deposits in the UAE design sit in a transparent escrowed reserve and never accrue to the operator, the system's self-financing role is carried by producer fees - which is why the recommended UAE fees sit at the top of the EU benchmark range (R7 §5, §7).</w:t>
      </w:r>
    </w:p>
    <w:p>
      <w:pPr>
        <w:pStyle w:val="Heading2"/>
        <w:keepNext/>
        <w:spacing w:after="140" w:before="340"/>
      </w:pPr>
      <w:r>
        <w:rPr>
          <w:rFonts w:ascii="Georgia" w:cs="Georgia" w:eastAsia="Georgia" w:hAnsi="Georgia"/>
          <w:b/>
          <w:bCs/>
          <w:color w:val="1B2A4A"/>
          <w:sz w:val="30"/>
          <w:szCs w:val="30"/>
        </w:rPr>
        <w:t xml:space="preserve">7.6 Timeline: 18-24 months from legislation to launch</w:t>
      </w:r>
    </w:p>
    <w:p>
      <w:pPr>
        <w:spacing w:after="160" w:line="300"/>
        <w:jc w:val="both"/>
      </w:pPr>
      <w:r>
        <w:t xml:space="preserve">Global benchmarks are consistent on duration:</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2912"/>
        <w:gridCol w:w="2912"/>
        <w:gridCol w:w="2914"/>
      </w:tblGrid>
      <w:tr>
        <w:trPr>
          <w:tblHeader/>
        </w:trPr>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System</w:t>
            </w:r>
          </w:p>
        </w:tc>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Law/decision → national launch</w:t>
            </w:r>
          </w:p>
        </w:tc>
        <w:tc>
          <w:tcPr>
            <w:tcW w:type="dxa" w:w="291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Duration</w:t>
            </w:r>
          </w:p>
        </w:tc>
      </w:tr>
      <w:tr>
        <w:tc>
          <w:tcPr>
            <w:tcW w:type="dxa" w:w="2912"/>
            <w:shd w:fill="FFFFFF" w:val="clear"/>
            <w:tcMar>
              <w:top w:type="dxa" w:w="80"/>
              <w:left w:type="dxa" w:w="100"/>
              <w:bottom w:type="dxa" w:w="80"/>
              <w:right w:type="dxa" w:w="100"/>
            </w:tcMar>
          </w:tcPr>
          <w:p>
            <w:pPr>
              <w:spacing w:after="0" w:line="240"/>
            </w:pPr>
            <w:r>
              <w:rPr>
                <w:sz w:val="17"/>
                <w:szCs w:val="17"/>
              </w:rPr>
              <w:t xml:space="preserve">Lithuania (USAD)</w:t>
            </w:r>
          </w:p>
        </w:tc>
        <w:tc>
          <w:tcPr>
            <w:tcW w:type="dxa" w:w="2912"/>
            <w:shd w:fill="FFFFFF" w:val="clear"/>
            <w:tcMar>
              <w:top w:type="dxa" w:w="80"/>
              <w:left w:type="dxa" w:w="100"/>
              <w:bottom w:type="dxa" w:w="80"/>
              <w:right w:type="dxa" w:w="100"/>
            </w:tcMar>
          </w:tcPr>
          <w:p>
            <w:pPr>
              <w:spacing w:after="0" w:line="240"/>
            </w:pPr>
            <w:r>
              <w:rPr>
                <w:sz w:val="17"/>
                <w:szCs w:val="17"/>
              </w:rPr>
              <w:t xml:space="preserve">Law May 2014 → launch 1 Feb 2016</w:t>
            </w:r>
          </w:p>
        </w:tc>
        <w:tc>
          <w:tcPr>
            <w:tcW w:type="dxa" w:w="2914"/>
            <w:shd w:fill="FFFFFF" w:val="clear"/>
            <w:tcMar>
              <w:top w:type="dxa" w:w="80"/>
              <w:left w:type="dxa" w:w="100"/>
              <w:bottom w:type="dxa" w:w="80"/>
              <w:right w:type="dxa" w:w="100"/>
            </w:tcMar>
          </w:tcPr>
          <w:p>
            <w:pPr>
              <w:spacing w:after="0" w:line="240"/>
            </w:pPr>
            <w:r>
              <w:rPr>
                <w:b/>
                <w:bCs/>
                <w:sz w:val="17"/>
                <w:szCs w:val="17"/>
              </w:rPr>
              <w:t xml:space="preserve">~18 months</w:t>
            </w:r>
            <w:r>
              <w:rPr>
                <w:sz w:val="17"/>
                <w:szCs w:val="17"/>
              </w:rPr>
              <w:t xml:space="preserve"> (USAD, 2019)</w:t>
            </w:r>
          </w:p>
        </w:tc>
      </w:tr>
      <w:tr>
        <w:tc>
          <w:tcPr>
            <w:tcW w:type="dxa" w:w="2912"/>
            <w:shd w:fill="F5F1E8" w:val="clear"/>
            <w:tcMar>
              <w:top w:type="dxa" w:w="80"/>
              <w:left w:type="dxa" w:w="100"/>
              <w:bottom w:type="dxa" w:w="80"/>
              <w:right w:type="dxa" w:w="100"/>
            </w:tcMar>
          </w:tcPr>
          <w:p>
            <w:pPr>
              <w:spacing w:after="0" w:line="240"/>
            </w:pPr>
            <w:r>
              <w:rPr>
                <w:sz w:val="17"/>
                <w:szCs w:val="17"/>
              </w:rPr>
              <w:t xml:space="preserve">Slovakia</w:t>
            </w:r>
          </w:p>
        </w:tc>
        <w:tc>
          <w:tcPr>
            <w:tcW w:type="dxa" w:w="2912"/>
            <w:shd w:fill="F5F1E8" w:val="clear"/>
            <w:tcMar>
              <w:top w:type="dxa" w:w="80"/>
              <w:left w:type="dxa" w:w="100"/>
              <w:bottom w:type="dxa" w:w="80"/>
              <w:right w:type="dxa" w:w="100"/>
            </w:tcMar>
          </w:tcPr>
          <w:p>
            <w:pPr>
              <w:spacing w:after="0" w:line="240"/>
            </w:pPr>
            <w:r>
              <w:rPr>
                <w:sz w:val="17"/>
                <w:szCs w:val="17"/>
              </w:rPr>
              <w:t xml:space="preserve">Decision → 1 Jan 2022 national launch</w:t>
            </w:r>
          </w:p>
        </w:tc>
        <w:tc>
          <w:tcPr>
            <w:tcW w:type="dxa" w:w="2914"/>
            <w:shd w:fill="F5F1E8" w:val="clear"/>
            <w:tcMar>
              <w:top w:type="dxa" w:w="80"/>
              <w:left w:type="dxa" w:w="100"/>
              <w:bottom w:type="dxa" w:w="80"/>
              <w:right w:type="dxa" w:w="100"/>
            </w:tcMar>
          </w:tcPr>
          <w:p>
            <w:pPr>
              <w:spacing w:after="0" w:line="240"/>
            </w:pPr>
            <w:r>
              <w:rPr>
                <w:sz w:val="17"/>
                <w:szCs w:val="17"/>
              </w:rPr>
              <w:t xml:space="preserve">~2 years (Reloop GDB, 2024)</w:t>
            </w:r>
          </w:p>
        </w:tc>
      </w:tr>
      <w:tr>
        <w:tc>
          <w:tcPr>
            <w:tcW w:type="dxa" w:w="2912"/>
            <w:shd w:fill="FFFFFF" w:val="clear"/>
            <w:tcMar>
              <w:top w:type="dxa" w:w="80"/>
              <w:left w:type="dxa" w:w="100"/>
              <w:bottom w:type="dxa" w:w="80"/>
              <w:right w:type="dxa" w:w="100"/>
            </w:tcMar>
          </w:tcPr>
          <w:p>
            <w:pPr>
              <w:spacing w:after="0" w:line="240"/>
            </w:pPr>
            <w:r>
              <w:rPr>
                <w:sz w:val="17"/>
                <w:szCs w:val="17"/>
              </w:rPr>
              <w:t xml:space="preserve">Ireland (Re-turn)</w:t>
            </w:r>
          </w:p>
        </w:tc>
        <w:tc>
          <w:tcPr>
            <w:tcW w:type="dxa" w:w="2912"/>
            <w:shd w:fill="FFFFFF" w:val="clear"/>
            <w:tcMar>
              <w:top w:type="dxa" w:w="80"/>
              <w:left w:type="dxa" w:w="100"/>
              <w:bottom w:type="dxa" w:w="80"/>
              <w:right w:type="dxa" w:w="100"/>
            </w:tcMar>
          </w:tcPr>
          <w:p>
            <w:pPr>
              <w:spacing w:after="0" w:line="240"/>
            </w:pPr>
            <w:r>
              <w:rPr>
                <w:sz w:val="17"/>
                <w:szCs w:val="17"/>
              </w:rPr>
              <w:t xml:space="preserve">Operator formation → 1 Feb 2024</w:t>
            </w:r>
          </w:p>
        </w:tc>
        <w:tc>
          <w:tcPr>
            <w:tcW w:type="dxa" w:w="2914"/>
            <w:shd w:fill="FFFFFF" w:val="clear"/>
            <w:tcMar>
              <w:top w:type="dxa" w:w="80"/>
              <w:left w:type="dxa" w:w="100"/>
              <w:bottom w:type="dxa" w:w="80"/>
              <w:right w:type="dxa" w:w="100"/>
            </w:tcMar>
          </w:tcPr>
          <w:p>
            <w:pPr>
              <w:spacing w:after="0" w:line="240"/>
            </w:pPr>
            <w:r>
              <w:rPr>
                <w:sz w:val="17"/>
                <w:szCs w:val="17"/>
              </w:rPr>
              <w:t xml:space="preserve">~18 months (Re-turn, 2025)</w:t>
            </w:r>
          </w:p>
        </w:tc>
      </w:tr>
      <w:tr>
        <w:tc>
          <w:tcPr>
            <w:tcW w:type="dxa" w:w="2912"/>
            <w:shd w:fill="F5F1E8" w:val="clear"/>
            <w:tcMar>
              <w:top w:type="dxa" w:w="80"/>
              <w:left w:type="dxa" w:w="100"/>
              <w:bottom w:type="dxa" w:w="80"/>
              <w:right w:type="dxa" w:w="100"/>
            </w:tcMar>
          </w:tcPr>
          <w:p>
            <w:pPr>
              <w:spacing w:after="0" w:line="240"/>
            </w:pPr>
            <w:r>
              <w:rPr>
                <w:sz w:val="17"/>
                <w:szCs w:val="17"/>
              </w:rPr>
              <w:t xml:space="preserve">Romania (RetuRO)</w:t>
            </w:r>
          </w:p>
        </w:tc>
        <w:tc>
          <w:tcPr>
            <w:tcW w:type="dxa" w:w="2912"/>
            <w:shd w:fill="F5F1E8" w:val="clear"/>
            <w:tcMar>
              <w:top w:type="dxa" w:w="80"/>
              <w:left w:type="dxa" w:w="100"/>
              <w:bottom w:type="dxa" w:w="80"/>
              <w:right w:type="dxa" w:w="100"/>
            </w:tcMar>
          </w:tcPr>
          <w:p>
            <w:pPr>
              <w:spacing w:after="0" w:line="240"/>
            </w:pPr>
            <w:r>
              <w:rPr>
                <w:sz w:val="17"/>
                <w:szCs w:val="17"/>
              </w:rPr>
              <w:t xml:space="preserve">Decision → 30 Nov 2023</w:t>
            </w:r>
          </w:p>
        </w:tc>
        <w:tc>
          <w:tcPr>
            <w:tcW w:type="dxa" w:w="2914"/>
            <w:shd w:fill="F5F1E8" w:val="clear"/>
            <w:tcMar>
              <w:top w:type="dxa" w:w="80"/>
              <w:left w:type="dxa" w:w="100"/>
              <w:bottom w:type="dxa" w:w="80"/>
              <w:right w:type="dxa" w:w="100"/>
            </w:tcMar>
          </w:tcPr>
          <w:p>
            <w:pPr>
              <w:spacing w:after="0" w:line="240"/>
            </w:pPr>
            <w:r>
              <w:rPr>
                <w:sz w:val="17"/>
                <w:szCs w:val="17"/>
              </w:rPr>
              <w:t xml:space="preserve">~2 years (Reloop GDB, 2024)</w:t>
            </w:r>
          </w:p>
        </w:tc>
      </w:tr>
      <w:tr>
        <w:tc>
          <w:tcPr>
            <w:tcW w:type="dxa" w:w="2912"/>
            <w:shd w:fill="FFFFFF" w:val="clear"/>
            <w:tcMar>
              <w:top w:type="dxa" w:w="80"/>
              <w:left w:type="dxa" w:w="100"/>
              <w:bottom w:type="dxa" w:w="80"/>
              <w:right w:type="dxa" w:w="100"/>
            </w:tcMar>
          </w:tcPr>
          <w:p>
            <w:pPr>
              <w:spacing w:after="0" w:line="240"/>
            </w:pPr>
            <w:r>
              <w:rPr>
                <w:sz w:val="17"/>
                <w:szCs w:val="17"/>
              </w:rPr>
              <w:t xml:space="preserve">Türkiye</w:t>
            </w:r>
          </w:p>
        </w:tc>
        <w:tc>
          <w:tcPr>
            <w:tcW w:type="dxa" w:w="2912"/>
            <w:shd w:fill="FFFFFF" w:val="clear"/>
            <w:tcMar>
              <w:top w:type="dxa" w:w="80"/>
              <w:left w:type="dxa" w:w="100"/>
              <w:bottom w:type="dxa" w:w="80"/>
              <w:right w:type="dxa" w:w="100"/>
            </w:tcMar>
          </w:tcPr>
          <w:p>
            <w:pPr>
              <w:spacing w:after="0" w:line="240"/>
            </w:pPr>
            <w:r>
              <w:rPr>
                <w:sz w:val="17"/>
                <w:szCs w:val="17"/>
              </w:rPr>
              <w:t xml:space="preserve">Announced 2021 → launched 1 Jul 2026</w:t>
            </w:r>
          </w:p>
        </w:tc>
        <w:tc>
          <w:tcPr>
            <w:tcW w:type="dxa" w:w="2914"/>
            <w:shd w:fill="FFFFFF" w:val="clear"/>
            <w:tcMar>
              <w:top w:type="dxa" w:w="80"/>
              <w:left w:type="dxa" w:w="100"/>
              <w:bottom w:type="dxa" w:w="80"/>
              <w:right w:type="dxa" w:w="100"/>
            </w:tcMar>
          </w:tcPr>
          <w:p>
            <w:pPr>
              <w:spacing w:after="0" w:line="240"/>
            </w:pPr>
            <w:r>
              <w:rPr>
                <w:b/>
                <w:bCs/>
                <w:sz w:val="17"/>
                <w:szCs w:val="17"/>
              </w:rPr>
              <w:t xml:space="preserve">~5 years - the cautionary case</w:t>
            </w:r>
            <w:r>
              <w:rPr>
                <w:sz w:val="17"/>
                <w:szCs w:val="17"/>
              </w:rPr>
              <w:t xml:space="preserve"> (AdsaleCPRJ, 2026)</w:t>
            </w:r>
          </w:p>
        </w:tc>
      </w:tr>
    </w:tbl>
    <w:p>
      <w:pPr>
        <w:spacing w:after="200"/>
      </w:pPr>
      <w:r>
        <w:rPr>
          <w:sz w:val="8"/>
          <w:szCs w:val="8"/>
        </w:rPr>
        <w:t xml:space="preserve"/>
      </w:r>
    </w:p>
    <w:p>
      <w:pPr>
        <w:spacing w:after="160" w:line="300"/>
        <w:jc w:val="both"/>
      </w:pPr>
      <w:r>
        <w:t xml:space="preserve">The planning basis for the UAE is </w:t>
      </w:r>
      <w:r>
        <w:rPr>
          <w:b/>
          <w:bCs/>
        </w:rPr>
        <w:t xml:space="preserve">18-24 months from Cabinet Resolution to full national launch in 2028</w:t>
      </w:r>
      <w:r>
        <w:t xml:space="preserve">. Türkiye's five-year slide shows the risk is real even with legislation in place; Scotland shows the cost of signing infrastructure contracts before the legal framework is final (Insider, 2023). Both lessons are priced into the roadmap in Chapter 8.</w:t>
      </w:r>
    </w:p>
    <w:p>
      <w:pPr>
        <w:pStyle w:val="Heading2"/>
        <w:keepNext/>
        <w:spacing w:after="140" w:before="340"/>
      </w:pPr>
      <w:r>
        <w:rPr>
          <w:rFonts w:ascii="Georgia" w:cs="Georgia" w:eastAsia="Georgia" w:hAnsi="Georgia"/>
          <w:b/>
          <w:bCs/>
          <w:color w:val="1B2A4A"/>
          <w:sz w:val="30"/>
          <w:szCs w:val="30"/>
        </w:rPr>
        <w:t xml:space="preserve">7.7 Draft Legislative Outline (structured annex)</w:t>
      </w:r>
    </w:p>
    <w:p>
      <w:pPr>
        <w:spacing w:after="160" w:line="300"/>
        <w:jc w:val="both"/>
      </w:pPr>
      <w:r>
        <w:t xml:space="preserve">The following article-by-article outline translates the design into a drafting skeleton for legislative counsel. It is a working annex for policymaker discussion - non-binding.</w:t>
      </w:r>
    </w:p>
    <w:p>
      <w:pPr>
        <w:pBdr>
          <w:left w:val="single" w:color="C9A227" w:sz="18"/>
        </w:pBdr>
        <w:shd w:fill="F5F1E8" w:val="clear"/>
        <w:spacing w:after="100" w:before="60" w:line="280"/>
        <w:ind w:left="260" w:right="260"/>
      </w:pPr>
      <w:r>
        <w:rPr>
          <w:b/>
          <w:bCs/>
          <w:color w:val="1B2A4A"/>
          <w:sz w:val="20"/>
          <w:szCs w:val="20"/>
        </w:rPr>
        <w:t xml:space="preserve">ANNEX 7-A - DRAFT LEGISLATIVE OUTLINE: Cabinet Resolution on the National Beverage Container Deposit Return System</w:t>
      </w:r>
    </w:p>
    <w:p>
      <w:pPr>
        <w:pBdr>
          <w:left w:val="single" w:color="C9A227" w:sz="18"/>
        </w:pBdr>
        <w:shd w:fill="F5F1E8" w:val="clear"/>
        <w:spacing w:after="100" w:before="60" w:line="280"/>
        <w:ind w:left="260" w:right="260"/>
      </w:pPr>
      <w:r>
        <w:rPr>
          <w:b/>
          <w:bCs/>
          <w:color w:val="1B2A4A"/>
          <w:sz w:val="20"/>
          <w:szCs w:val="20"/>
        </w:rPr>
        <w:t xml:space="preserve">Chapter I - Definitions and Scope</w:t>
      </w:r>
    </w:p>
    <w:p>
      <w:pPr>
        <w:pBdr>
          <w:left w:val="single" w:color="C9A227" w:sz="18"/>
        </w:pBdr>
        <w:shd w:fill="F5F1E8" w:val="clear"/>
        <w:spacing w:after="80" w:line="280"/>
        <w:ind w:left="460" w:right="260" w:hanging="160"/>
      </w:pPr>
      <w:r>
        <w:rPr>
          <w:b/>
          <w:bCs/>
          <w:color w:val="C9A227"/>
          <w:sz w:val="19"/>
          <w:szCs w:val="19"/>
        </w:rPr>
        <w:t xml:space="preserve">- </w:t>
      </w:r>
      <w:r>
        <w:rPr>
          <w:i/>
          <w:iCs/>
          <w:sz w:val="19"/>
          <w:szCs w:val="19"/>
        </w:rPr>
        <w:t xml:space="preserve">Art. 1</w:t>
      </w:r>
      <w:r>
        <w:rPr>
          <w:sz w:val="19"/>
          <w:szCs w:val="19"/>
        </w:rPr>
        <w:t xml:space="preserve"> Definitions: beverage container, deposit, producer, importer, retailer, DSO, return point, escrow account.</w:t>
      </w:r>
    </w:p>
    <w:p>
      <w:pPr>
        <w:pBdr>
          <w:left w:val="single" w:color="C9A227" w:sz="18"/>
        </w:pBdr>
        <w:shd w:fill="F5F1E8" w:val="clear"/>
        <w:spacing w:after="80" w:line="280"/>
        <w:ind w:left="460" w:right="260" w:hanging="160"/>
      </w:pPr>
      <w:r>
        <w:rPr>
          <w:b/>
          <w:bCs/>
          <w:color w:val="C9A227"/>
          <w:sz w:val="19"/>
          <w:szCs w:val="19"/>
        </w:rPr>
        <w:t xml:space="preserve">- </w:t>
      </w:r>
      <w:r>
        <w:rPr>
          <w:i/>
          <w:iCs/>
          <w:sz w:val="19"/>
          <w:szCs w:val="19"/>
        </w:rPr>
        <w:t xml:space="preserve">Art. 2</w:t>
      </w:r>
      <w:r>
        <w:rPr>
          <w:sz w:val="19"/>
          <w:szCs w:val="19"/>
        </w:rPr>
        <w:t xml:space="preserve"> Scope: single-use beverage containers of </w:t>
      </w:r>
      <w:r>
        <w:rPr>
          <w:b/>
          <w:bCs/>
          <w:sz w:val="19"/>
          <w:szCs w:val="19"/>
        </w:rPr>
        <w:t xml:space="preserve">PET, metal (aluminium/steel) and glass, 0.1-3 L</w:t>
      </w:r>
      <w:r>
        <w:rPr>
          <w:sz w:val="19"/>
          <w:szCs w:val="19"/>
        </w:rPr>
        <w:t xml:space="preserve">, covering water, soft drinks, juices, beer and other beverage categories as scheduled. (Lithuania/Romania scope precedent: USAD, 2019; Reloop GDB, 2024.)</w:t>
      </w:r>
    </w:p>
    <w:p>
      <w:pPr>
        <w:pBdr>
          <w:left w:val="single" w:color="C9A227" w:sz="18"/>
        </w:pBdr>
        <w:shd w:fill="F5F1E8" w:val="clear"/>
        <w:spacing w:after="80" w:line="280"/>
        <w:ind w:left="460" w:right="260" w:hanging="160"/>
      </w:pPr>
      <w:r>
        <w:rPr>
          <w:b/>
          <w:bCs/>
          <w:color w:val="C9A227"/>
          <w:sz w:val="19"/>
          <w:szCs w:val="19"/>
        </w:rPr>
        <w:t xml:space="preserve">- </w:t>
      </w:r>
      <w:r>
        <w:rPr>
          <w:i/>
          <w:iCs/>
          <w:sz w:val="19"/>
          <w:szCs w:val="19"/>
        </w:rPr>
        <w:t xml:space="preserve">Art. 3</w:t>
      </w:r>
      <w:r>
        <w:rPr>
          <w:sz w:val="19"/>
          <w:szCs w:val="19"/>
        </w:rPr>
        <w:t xml:space="preserve"> Exemptions: containers for export; refillable containers under separate regime; dairy-based beverages at launch, reviewable at year-2 statutory review.</w:t>
      </w:r>
    </w:p>
    <w:p>
      <w:pPr>
        <w:pBdr>
          <w:left w:val="single" w:color="C9A227" w:sz="18"/>
        </w:pBdr>
        <w:shd w:fill="F5F1E8" w:val="clear"/>
        <w:spacing w:after="100" w:before="60" w:line="280"/>
        <w:ind w:left="260" w:right="260"/>
      </w:pPr>
      <w:r>
        <w:rPr>
          <w:b/>
          <w:bCs/>
          <w:color w:val="1B2A4A"/>
          <w:sz w:val="20"/>
          <w:szCs w:val="20"/>
        </w:rPr>
        <w:t xml:space="preserve">Chapter II - The Deposit</w:t>
      </w:r>
    </w:p>
    <w:p>
      <w:pPr>
        <w:pBdr>
          <w:left w:val="single" w:color="C9A227" w:sz="18"/>
        </w:pBdr>
        <w:shd w:fill="F5F1E8" w:val="clear"/>
        <w:spacing w:after="80" w:line="280"/>
        <w:ind w:left="460" w:right="260" w:hanging="160"/>
      </w:pPr>
      <w:r>
        <w:rPr>
          <w:b/>
          <w:bCs/>
          <w:color w:val="C9A227"/>
          <w:sz w:val="19"/>
          <w:szCs w:val="19"/>
        </w:rPr>
        <w:t xml:space="preserve">- </w:t>
      </w:r>
      <w:r>
        <w:rPr>
          <w:i/>
          <w:iCs/>
          <w:sz w:val="19"/>
          <w:szCs w:val="19"/>
        </w:rPr>
        <w:t xml:space="preserve">Art. 4</w:t>
      </w:r>
      <w:r>
        <w:rPr>
          <w:sz w:val="19"/>
          <w:szCs w:val="19"/>
        </w:rPr>
        <w:t xml:space="preserve"> A refundable deposit applies to every in-scope container placed on the market. Reference value (non-binding, set by Cabinet schedule): </w:t>
      </w:r>
      <w:r>
        <w:rPr>
          <w:b/>
          <w:bCs/>
          <w:sz w:val="19"/>
          <w:szCs w:val="19"/>
        </w:rPr>
        <w:t xml:space="preserve">AED 0.25 flat</w:t>
      </w:r>
      <w:r>
        <w:rPr>
          <w:sz w:val="19"/>
          <w:szCs w:val="19"/>
        </w:rPr>
        <w:t xml:space="preserve"> across materials and sizes - flat deposits dominate all recent fast-ramping systems (Reloop, 2026; R7 §4).</w:t>
      </w:r>
    </w:p>
    <w:p>
      <w:pPr>
        <w:pBdr>
          <w:left w:val="single" w:color="C9A227" w:sz="18"/>
        </w:pBdr>
        <w:shd w:fill="F5F1E8" w:val="clear"/>
        <w:spacing w:after="80" w:line="280"/>
        <w:ind w:left="460" w:right="260" w:hanging="160"/>
      </w:pPr>
      <w:r>
        <w:rPr>
          <w:b/>
          <w:bCs/>
          <w:color w:val="C9A227"/>
          <w:sz w:val="19"/>
          <w:szCs w:val="19"/>
        </w:rPr>
        <w:t xml:space="preserve">- </w:t>
      </w:r>
      <w:r>
        <w:rPr>
          <w:i/>
          <w:iCs/>
          <w:sz w:val="19"/>
          <w:szCs w:val="19"/>
        </w:rPr>
        <w:t xml:space="preserve">Art. 5</w:t>
      </w:r>
      <w:r>
        <w:rPr>
          <w:sz w:val="19"/>
          <w:szCs w:val="19"/>
        </w:rPr>
        <w:t xml:space="preserve"> Deposit displayed separately at point of sale; refundable in cash, voucher or digital credit.</w:t>
      </w:r>
    </w:p>
    <w:p>
      <w:pPr>
        <w:pBdr>
          <w:left w:val="single" w:color="C9A227" w:sz="18"/>
        </w:pBdr>
        <w:shd w:fill="F5F1E8" w:val="clear"/>
        <w:spacing w:after="80" w:line="280"/>
        <w:ind w:left="460" w:right="260" w:hanging="160"/>
      </w:pPr>
      <w:r>
        <w:rPr>
          <w:b/>
          <w:bCs/>
          <w:color w:val="C9A227"/>
          <w:sz w:val="19"/>
          <w:szCs w:val="19"/>
        </w:rPr>
        <w:t xml:space="preserve">- </w:t>
      </w:r>
      <w:r>
        <w:rPr>
          <w:i/>
          <w:iCs/>
          <w:sz w:val="19"/>
          <w:szCs w:val="19"/>
        </w:rPr>
        <w:t xml:space="preserve">Art. 6</w:t>
      </w:r>
      <w:r>
        <w:rPr>
          <w:sz w:val="19"/>
          <w:szCs w:val="19"/>
        </w:rPr>
        <w:t xml:space="preserve"> Deposit review: statutory review at year 2 against achieved return rate and regional benchmarks (incl. Türkiye's first-year results) (R7 §4).</w:t>
      </w:r>
    </w:p>
    <w:p>
      <w:pPr>
        <w:pBdr>
          <w:left w:val="single" w:color="C9A227" w:sz="18"/>
        </w:pBdr>
        <w:shd w:fill="F5F1E8" w:val="clear"/>
        <w:spacing w:after="100" w:before="60" w:line="280"/>
        <w:ind w:left="260" w:right="260"/>
      </w:pPr>
      <w:r>
        <w:rPr>
          <w:b/>
          <w:bCs/>
          <w:color w:val="1B2A4A"/>
          <w:sz w:val="20"/>
          <w:szCs w:val="20"/>
        </w:rPr>
        <w:t xml:space="preserve">Chapter III - Registration and Market Obligations</w:t>
      </w:r>
    </w:p>
    <w:p>
      <w:pPr>
        <w:pBdr>
          <w:left w:val="single" w:color="C9A227" w:sz="18"/>
        </w:pBdr>
        <w:shd w:fill="F5F1E8" w:val="clear"/>
        <w:spacing w:after="80" w:line="280"/>
        <w:ind w:left="460" w:right="260" w:hanging="160"/>
      </w:pPr>
      <w:r>
        <w:rPr>
          <w:b/>
          <w:bCs/>
          <w:color w:val="C9A227"/>
          <w:sz w:val="19"/>
          <w:szCs w:val="19"/>
        </w:rPr>
        <w:t xml:space="preserve">- </w:t>
      </w:r>
      <w:r>
        <w:rPr>
          <w:i/>
          <w:iCs/>
          <w:sz w:val="19"/>
          <w:szCs w:val="19"/>
        </w:rPr>
        <w:t xml:space="preserve">Art. 7</w:t>
      </w:r>
      <w:r>
        <w:rPr>
          <w:sz w:val="19"/>
          <w:szCs w:val="19"/>
        </w:rPr>
        <w:t xml:space="preserve"> All producers and importers of in-scope beverages must register with the DSO before placing containers on the market; unregistered products may not be sold (centralised barcode registration - standard fraud control, Reloop GDB, 2024).</w:t>
      </w:r>
    </w:p>
    <w:p>
      <w:pPr>
        <w:pBdr>
          <w:left w:val="single" w:color="C9A227" w:sz="18"/>
        </w:pBdr>
        <w:shd w:fill="F5F1E8" w:val="clear"/>
        <w:spacing w:after="80" w:line="280"/>
        <w:ind w:left="460" w:right="260" w:hanging="160"/>
      </w:pPr>
      <w:r>
        <w:rPr>
          <w:b/>
          <w:bCs/>
          <w:color w:val="C9A227"/>
          <w:sz w:val="19"/>
          <w:szCs w:val="19"/>
        </w:rPr>
        <w:t xml:space="preserve">- </w:t>
      </w:r>
      <w:r>
        <w:rPr>
          <w:i/>
          <w:iCs/>
          <w:sz w:val="19"/>
          <w:szCs w:val="19"/>
        </w:rPr>
        <w:t xml:space="preserve">Art. 8</w:t>
      </w:r>
      <w:r>
        <w:rPr>
          <w:sz w:val="19"/>
          <w:szCs w:val="19"/>
        </w:rPr>
        <w:t xml:space="preserve"> Mandatory deposit mark/logo and barcode registration per SKU; international-barcode surcharge mechanism permitted (Estonia/Slovakia/Malta/Ireland precedent).</w:t>
      </w:r>
    </w:p>
    <w:p>
      <w:pPr>
        <w:pBdr>
          <w:left w:val="single" w:color="C9A227" w:sz="18"/>
        </w:pBdr>
        <w:shd w:fill="F5F1E8" w:val="clear"/>
        <w:spacing w:after="80" w:line="280"/>
        <w:ind w:left="460" w:right="260" w:hanging="160"/>
      </w:pPr>
      <w:r>
        <w:rPr>
          <w:b/>
          <w:bCs/>
          <w:color w:val="C9A227"/>
          <w:sz w:val="19"/>
          <w:szCs w:val="19"/>
        </w:rPr>
        <w:t xml:space="preserve">- </w:t>
      </w:r>
      <w:r>
        <w:rPr>
          <w:i/>
          <w:iCs/>
          <w:sz w:val="19"/>
          <w:szCs w:val="19"/>
        </w:rPr>
        <w:t xml:space="preserve">Art. 9</w:t>
      </w:r>
      <w:r>
        <w:rPr>
          <w:sz w:val="19"/>
          <w:szCs w:val="19"/>
        </w:rPr>
        <w:t xml:space="preserve"> Retailers above a defined floor-area threshold must accept returns of all in-scope materials; small-format exemptions per schedule (Lithuania: ≤300 m² urban / ≤60 m² rural exemption precedent).</w:t>
      </w:r>
    </w:p>
    <w:p>
      <w:pPr>
        <w:pBdr>
          <w:left w:val="single" w:color="C9A227" w:sz="18"/>
        </w:pBdr>
        <w:shd w:fill="F5F1E8" w:val="clear"/>
        <w:spacing w:after="80" w:line="280"/>
        <w:ind w:left="460" w:right="260" w:hanging="160"/>
      </w:pPr>
      <w:r>
        <w:rPr>
          <w:b/>
          <w:bCs/>
          <w:color w:val="C9A227"/>
          <w:sz w:val="19"/>
          <w:szCs w:val="19"/>
        </w:rPr>
        <w:t xml:space="preserve">- </w:t>
      </w:r>
      <w:r>
        <w:rPr>
          <w:i/>
          <w:iCs/>
          <w:sz w:val="19"/>
          <w:szCs w:val="19"/>
        </w:rPr>
        <w:t xml:space="preserve">Art. 10</w:t>
      </w:r>
      <w:r>
        <w:rPr>
          <w:sz w:val="19"/>
          <w:szCs w:val="19"/>
        </w:rPr>
        <w:t xml:space="preserve"> Producer fees payable on all units placed on market, per material schedule; annual cost-recovery review mechanism (Hungary MOHU monthly model; Ireland/Latvia methodology - R7 §5).</w:t>
      </w:r>
    </w:p>
    <w:p>
      <w:pPr>
        <w:pBdr>
          <w:left w:val="single" w:color="C9A227" w:sz="18"/>
        </w:pBdr>
        <w:shd w:fill="F5F1E8" w:val="clear"/>
        <w:spacing w:after="100" w:before="60" w:line="280"/>
        <w:ind w:left="260" w:right="260"/>
      </w:pPr>
      <w:r>
        <w:rPr>
          <w:b/>
          <w:bCs/>
          <w:color w:val="1B2A4A"/>
          <w:sz w:val="20"/>
          <w:szCs w:val="20"/>
        </w:rPr>
        <w:t xml:space="preserve">Chapter IV - The Deposit System Operator</w:t>
      </w:r>
    </w:p>
    <w:p>
      <w:pPr>
        <w:pBdr>
          <w:left w:val="single" w:color="C9A227" w:sz="18"/>
        </w:pBdr>
        <w:shd w:fill="F5F1E8" w:val="clear"/>
        <w:spacing w:after="80" w:line="280"/>
        <w:ind w:left="460" w:right="260" w:hanging="160"/>
      </w:pPr>
      <w:r>
        <w:rPr>
          <w:b/>
          <w:bCs/>
          <w:color w:val="C9A227"/>
          <w:sz w:val="19"/>
          <w:szCs w:val="19"/>
        </w:rPr>
        <w:t xml:space="preserve">- </w:t>
      </w:r>
      <w:r>
        <w:rPr>
          <w:i/>
          <w:iCs/>
          <w:sz w:val="19"/>
          <w:szCs w:val="19"/>
        </w:rPr>
        <w:t xml:space="preserve">Art. 11</w:t>
      </w:r>
      <w:r>
        <w:rPr>
          <w:sz w:val="19"/>
          <w:szCs w:val="19"/>
        </w:rPr>
        <w:t xml:space="preserve"> MOCCAE (with MOET concurrence) licenses a single national DSO for an initial term; licensing criteria: not-for-profit operation, industry and government governance participation, financial adequacy.</w:t>
      </w:r>
    </w:p>
    <w:p>
      <w:pPr>
        <w:pBdr>
          <w:left w:val="single" w:color="C9A227" w:sz="18"/>
        </w:pBdr>
        <w:shd w:fill="F5F1E8" w:val="clear"/>
        <w:spacing w:after="80" w:line="280"/>
        <w:ind w:left="460" w:right="260" w:hanging="160"/>
      </w:pPr>
      <w:r>
        <w:rPr>
          <w:b/>
          <w:bCs/>
          <w:color w:val="C9A227"/>
          <w:sz w:val="19"/>
          <w:szCs w:val="19"/>
        </w:rPr>
        <w:t xml:space="preserve">- </w:t>
      </w:r>
      <w:r>
        <w:rPr>
          <w:i/>
          <w:iCs/>
          <w:sz w:val="19"/>
          <w:szCs w:val="19"/>
        </w:rPr>
        <w:t xml:space="preserve">Art. 12</w:t>
      </w:r>
      <w:r>
        <w:rPr>
          <w:sz w:val="19"/>
          <w:szCs w:val="19"/>
        </w:rPr>
        <w:t xml:space="preserve"> DSO duties: central clearing, barcode registry, logistics and counting, material marketing, consumer awareness, data reporting.</w:t>
      </w:r>
    </w:p>
    <w:p>
      <w:pPr>
        <w:pBdr>
          <w:left w:val="single" w:color="C9A227" w:sz="18"/>
        </w:pBdr>
        <w:shd w:fill="F5F1E8" w:val="clear"/>
        <w:spacing w:after="80" w:line="280"/>
        <w:ind w:left="460" w:right="260" w:hanging="160"/>
      </w:pPr>
      <w:r>
        <w:rPr>
          <w:b/>
          <w:bCs/>
          <w:color w:val="C9A227"/>
          <w:sz w:val="19"/>
          <w:szCs w:val="19"/>
        </w:rPr>
        <w:t xml:space="preserve">- </w:t>
      </w:r>
      <w:r>
        <w:rPr>
          <w:i/>
          <w:iCs/>
          <w:sz w:val="19"/>
          <w:szCs w:val="19"/>
        </w:rPr>
        <w:t xml:space="preserve">Art. 13</w:t>
      </w:r>
      <w:r>
        <w:rPr>
          <w:sz w:val="19"/>
          <w:szCs w:val="19"/>
        </w:rPr>
        <w:t xml:space="preserve"> DSO capitalisation and delay-resilience requirements - operator must be capitalised for delay scenarios (Scotland lesson: Circularity Scotland folded with £86.2m liabilities, Insider, 2023).</w:t>
      </w:r>
    </w:p>
    <w:p>
      <w:pPr>
        <w:pBdr>
          <w:left w:val="single" w:color="C9A227" w:sz="18"/>
        </w:pBdr>
        <w:shd w:fill="F5F1E8" w:val="clear"/>
        <w:spacing w:after="100" w:before="60" w:line="280"/>
        <w:ind w:left="260" w:right="260"/>
      </w:pPr>
      <w:r>
        <w:rPr>
          <w:b/>
          <w:bCs/>
          <w:color w:val="1B2A4A"/>
          <w:sz w:val="20"/>
          <w:szCs w:val="20"/>
        </w:rPr>
        <w:t xml:space="preserve">Chapter V - Deposit Funds and Escrow</w:t>
      </w:r>
    </w:p>
    <w:p>
      <w:pPr>
        <w:pBdr>
          <w:left w:val="single" w:color="C9A227" w:sz="18"/>
        </w:pBdr>
        <w:shd w:fill="F5F1E8" w:val="clear"/>
        <w:spacing w:after="80" w:line="280"/>
        <w:ind w:left="460" w:right="260" w:hanging="160"/>
      </w:pPr>
      <w:r>
        <w:rPr>
          <w:b/>
          <w:bCs/>
          <w:color w:val="C9A227"/>
          <w:sz w:val="19"/>
          <w:szCs w:val="19"/>
        </w:rPr>
        <w:t xml:space="preserve">- </w:t>
      </w:r>
      <w:r>
        <w:rPr>
          <w:i/>
          <w:iCs/>
          <w:sz w:val="19"/>
          <w:szCs w:val="19"/>
        </w:rPr>
        <w:t xml:space="preserve">Art. 14</w:t>
      </w:r>
      <w:r>
        <w:rPr>
          <w:sz w:val="19"/>
          <w:szCs w:val="19"/>
        </w:rPr>
        <w:t xml:space="preserve"> All deposit monies are </w:t>
      </w:r>
      <w:r>
        <w:rPr>
          <w:b/>
          <w:bCs/>
          <w:sz w:val="19"/>
          <w:szCs w:val="19"/>
        </w:rPr>
        <w:t xml:space="preserve">pass-through liabilities held in a transparent, ring-fenced escrow account</w:t>
      </w:r>
      <w:r>
        <w:rPr>
          <w:sz w:val="19"/>
          <w:szCs w:val="19"/>
        </w:rPr>
        <w:t xml:space="preserve">; they are not revenue of the DSO, the operator consortium, or any private party. Unredeemed balances accrue to a transparent system reserve administered under Cabinet-approved rules (Slovakia "transparent account" / Portugal state-fund models; R7 §7).</w:t>
      </w:r>
    </w:p>
    <w:p>
      <w:pPr>
        <w:pBdr>
          <w:left w:val="single" w:color="C9A227" w:sz="18"/>
        </w:pBdr>
        <w:shd w:fill="F5F1E8" w:val="clear"/>
        <w:spacing w:after="80" w:line="280"/>
        <w:ind w:left="460" w:right="260" w:hanging="160"/>
      </w:pPr>
      <w:r>
        <w:rPr>
          <w:b/>
          <w:bCs/>
          <w:color w:val="C9A227"/>
          <w:sz w:val="19"/>
          <w:szCs w:val="19"/>
        </w:rPr>
        <w:t xml:space="preserve">- </w:t>
      </w:r>
      <w:r>
        <w:rPr>
          <w:i/>
          <w:iCs/>
          <w:sz w:val="19"/>
          <w:szCs w:val="19"/>
        </w:rPr>
        <w:t xml:space="preserve">Art. 15</w:t>
      </w:r>
      <w:r>
        <w:rPr>
          <w:sz w:val="19"/>
          <w:szCs w:val="19"/>
        </w:rPr>
        <w:t xml:space="preserve"> Independent annual audit of the escrow and clearing system; audit reports published.</w:t>
      </w:r>
    </w:p>
    <w:p>
      <w:pPr>
        <w:pBdr>
          <w:left w:val="single" w:color="C9A227" w:sz="18"/>
        </w:pBdr>
        <w:shd w:fill="F5F1E8" w:val="clear"/>
        <w:spacing w:after="80" w:line="280"/>
        <w:ind w:left="460" w:right="260" w:hanging="160"/>
      </w:pPr>
      <w:r>
        <w:rPr>
          <w:b/>
          <w:bCs/>
          <w:color w:val="C9A227"/>
          <w:sz w:val="19"/>
          <w:szCs w:val="19"/>
        </w:rPr>
        <w:t xml:space="preserve">- </w:t>
      </w:r>
      <w:r>
        <w:rPr>
          <w:i/>
          <w:iCs/>
          <w:sz w:val="19"/>
          <w:szCs w:val="19"/>
        </w:rPr>
        <w:t xml:space="preserve">Art. 16</w:t>
      </w:r>
      <w:r>
        <w:rPr>
          <w:sz w:val="19"/>
          <w:szCs w:val="19"/>
        </w:rPr>
        <w:t xml:space="preserve"> The operator's remuneration derives exclusively from contracted operations-management fees and recovered-material value, as per its licence. </w:t>
      </w:r>
      <w:r>
        <w:rPr>
          <w:b/>
          <w:bCs/>
          <w:sz w:val="19"/>
          <w:szCs w:val="19"/>
        </w:rPr>
        <w:t xml:space="preserve">The operator earns nothing from unredeemed deposits.</w:t>
      </w:r>
    </w:p>
    <w:p>
      <w:pPr>
        <w:pBdr>
          <w:left w:val="single" w:color="C9A227" w:sz="18"/>
        </w:pBdr>
        <w:shd w:fill="F5F1E8" w:val="clear"/>
        <w:spacing w:after="100" w:before="60" w:line="280"/>
        <w:ind w:left="260" w:right="260"/>
      </w:pPr>
      <w:r>
        <w:rPr>
          <w:b/>
          <w:bCs/>
          <w:color w:val="1B2A4A"/>
          <w:sz w:val="20"/>
          <w:szCs w:val="20"/>
        </w:rPr>
        <w:t xml:space="preserve">Chapter VI - Targets, Reporting and Enforcement</w:t>
      </w:r>
    </w:p>
    <w:p>
      <w:pPr>
        <w:pBdr>
          <w:left w:val="single" w:color="C9A227" w:sz="18"/>
        </w:pBdr>
        <w:shd w:fill="F5F1E8" w:val="clear"/>
        <w:spacing w:after="80" w:line="280"/>
        <w:ind w:left="460" w:right="260" w:hanging="160"/>
      </w:pPr>
      <w:r>
        <w:rPr>
          <w:b/>
          <w:bCs/>
          <w:color w:val="C9A227"/>
          <w:sz w:val="19"/>
          <w:szCs w:val="19"/>
        </w:rPr>
        <w:t xml:space="preserve">- </w:t>
      </w:r>
      <w:r>
        <w:rPr>
          <w:i/>
          <w:iCs/>
          <w:sz w:val="19"/>
          <w:szCs w:val="19"/>
        </w:rPr>
        <w:t xml:space="preserve">Art. 17</w:t>
      </w:r>
      <w:r>
        <w:rPr>
          <w:sz w:val="19"/>
          <w:szCs w:val="19"/>
        </w:rPr>
        <w:t xml:space="preserve"> Statutory collection targets on a published ramp (reference: 55% year 1 rising to 90% by year 7 - R7; Romania statutory ramp precedent: Interreg Europe, 2025).</w:t>
      </w:r>
    </w:p>
    <w:p>
      <w:pPr>
        <w:pBdr>
          <w:left w:val="single" w:color="C9A227" w:sz="18"/>
        </w:pBdr>
        <w:shd w:fill="F5F1E8" w:val="clear"/>
        <w:spacing w:after="80" w:line="280"/>
        <w:ind w:left="460" w:right="260" w:hanging="160"/>
      </w:pPr>
      <w:r>
        <w:rPr>
          <w:b/>
          <w:bCs/>
          <w:color w:val="C9A227"/>
          <w:sz w:val="19"/>
          <w:szCs w:val="19"/>
        </w:rPr>
        <w:t xml:space="preserve">- </w:t>
      </w:r>
      <w:r>
        <w:rPr>
          <w:i/>
          <w:iCs/>
          <w:sz w:val="19"/>
          <w:szCs w:val="19"/>
        </w:rPr>
        <w:t xml:space="preserve">Art. 18</w:t>
      </w:r>
      <w:r>
        <w:rPr>
          <w:sz w:val="19"/>
          <w:szCs w:val="19"/>
        </w:rPr>
        <w:t xml:space="preserve"> Quarterly DSO reporting to MOCCAE/MOET; annual public report; data feeds the Climate Change Law MRV (Federal Decree-Law 11/2024).</w:t>
      </w:r>
    </w:p>
    <w:p>
      <w:pPr>
        <w:pBdr>
          <w:left w:val="single" w:color="C9A227" w:sz="18"/>
        </w:pBdr>
        <w:shd w:fill="F5F1E8" w:val="clear"/>
        <w:spacing w:after="80" w:line="280"/>
        <w:ind w:left="460" w:right="260" w:hanging="160"/>
      </w:pPr>
      <w:r>
        <w:rPr>
          <w:b/>
          <w:bCs/>
          <w:color w:val="C9A227"/>
          <w:sz w:val="19"/>
          <w:szCs w:val="19"/>
        </w:rPr>
        <w:t xml:space="preserve">- </w:t>
      </w:r>
      <w:r>
        <w:rPr>
          <w:i/>
          <w:iCs/>
          <w:sz w:val="19"/>
          <w:szCs w:val="19"/>
        </w:rPr>
        <w:t xml:space="preserve">Art. 19</w:t>
      </w:r>
      <w:r>
        <w:rPr>
          <w:sz w:val="19"/>
          <w:szCs w:val="19"/>
        </w:rPr>
        <w:t xml:space="preserve"> Penalties for non-registration, misreporting and fraud; alignment with EPR penalty scales (reported AED 100,000-1,000,000 - ESG WISE, 2025; verify against final EPR regulation).</w:t>
      </w:r>
    </w:p>
    <w:p>
      <w:pPr>
        <w:pBdr>
          <w:left w:val="single" w:color="C9A227" w:sz="18"/>
        </w:pBdr>
        <w:shd w:fill="F5F1E8" w:val="clear"/>
        <w:spacing w:after="80" w:line="280"/>
        <w:ind w:left="460" w:right="260" w:hanging="160"/>
      </w:pPr>
      <w:r>
        <w:rPr>
          <w:b/>
          <w:bCs/>
          <w:color w:val="C9A227"/>
          <w:sz w:val="19"/>
          <w:szCs w:val="19"/>
        </w:rPr>
        <w:t xml:space="preserve">- </w:t>
      </w:r>
      <w:r>
        <w:rPr>
          <w:i/>
          <w:iCs/>
          <w:sz w:val="19"/>
          <w:szCs w:val="19"/>
        </w:rPr>
        <w:t xml:space="preserve">Art. 20</w:t>
      </w:r>
      <w:r>
        <w:rPr>
          <w:sz w:val="19"/>
          <w:szCs w:val="19"/>
        </w:rPr>
        <w:t xml:space="preserve"> Enforcement delegation to emirate authorities under implementation agreements.</w:t>
      </w:r>
    </w:p>
    <w:p>
      <w:pPr>
        <w:pBdr>
          <w:left w:val="single" w:color="C9A227" w:sz="18"/>
        </w:pBdr>
        <w:shd w:fill="F5F1E8" w:val="clear"/>
        <w:spacing w:after="100" w:before="60" w:line="280"/>
        <w:ind w:left="260" w:right="260"/>
      </w:pPr>
      <w:r>
        <w:rPr>
          <w:b/>
          <w:bCs/>
          <w:color w:val="1B2A4A"/>
          <w:sz w:val="20"/>
          <w:szCs w:val="20"/>
        </w:rPr>
        <w:t xml:space="preserve">Chapter VII - EPR Integration and Transitional Provisions</w:t>
      </w:r>
    </w:p>
    <w:p>
      <w:pPr>
        <w:pBdr>
          <w:left w:val="single" w:color="C9A227" w:sz="18"/>
        </w:pBdr>
        <w:shd w:fill="F5F1E8" w:val="clear"/>
        <w:spacing w:after="80" w:line="280"/>
        <w:ind w:left="460" w:right="260" w:hanging="160"/>
      </w:pPr>
      <w:r>
        <w:rPr>
          <w:b/>
          <w:bCs/>
          <w:color w:val="C9A227"/>
          <w:sz w:val="19"/>
          <w:szCs w:val="19"/>
        </w:rPr>
        <w:t xml:space="preserve">- </w:t>
      </w:r>
      <w:r>
        <w:rPr>
          <w:i/>
          <w:iCs/>
          <w:sz w:val="19"/>
          <w:szCs w:val="19"/>
        </w:rPr>
        <w:t xml:space="preserve">Art. 21</w:t>
      </w:r>
      <w:r>
        <w:rPr>
          <w:sz w:val="19"/>
          <w:szCs w:val="19"/>
        </w:rPr>
        <w:t xml:space="preserve"> DRS registration and fees discharge EPR packaging obligations for in-scope containers.</w:t>
      </w:r>
    </w:p>
    <w:p>
      <w:pPr>
        <w:pBdr>
          <w:left w:val="single" w:color="C9A227" w:sz="18"/>
        </w:pBdr>
        <w:shd w:fill="F5F1E8" w:val="clear"/>
        <w:spacing w:after="80" w:line="280"/>
        <w:ind w:left="460" w:right="260" w:hanging="160"/>
      </w:pPr>
      <w:r>
        <w:rPr>
          <w:b/>
          <w:bCs/>
          <w:color w:val="C9A227"/>
          <w:sz w:val="19"/>
          <w:szCs w:val="19"/>
        </w:rPr>
        <w:t xml:space="preserve">- </w:t>
      </w:r>
      <w:r>
        <w:rPr>
          <w:i/>
          <w:iCs/>
          <w:sz w:val="19"/>
          <w:szCs w:val="19"/>
        </w:rPr>
        <w:t xml:space="preserve">Art. 22</w:t>
      </w:r>
      <w:r>
        <w:rPr>
          <w:sz w:val="19"/>
          <w:szCs w:val="19"/>
        </w:rPr>
        <w:t xml:space="preserve"> Transitional sell-through period for pre-marked stock; voluntary schemes (EAD bottle-return, Tadweer-TOMRA, retail RVM networks) may apply for recognition as authorised return points.</w:t>
      </w:r>
    </w:p>
    <w:p>
      <w:pPr>
        <w:spacing w:after="120"/>
      </w:pPr>
      <w:r>
        <w:rPr>
          <w:sz w:val="8"/>
          <w:szCs w:val="8"/>
        </w:rPr>
        <w:t xml:space="preserve"/>
      </w:r>
    </w:p>
    <w:p>
      <w:pPr>
        <w:pageBreakBefore/>
        <w:spacing w:after="80" w:before="0"/>
      </w:pPr>
      <w:r>
        <w:rPr>
          <w:rFonts w:ascii="Georgia" w:cs="Georgia" w:eastAsia="Georgia" w:hAnsi="Georgia"/>
          <w:b/>
          <w:bCs/>
          <w:color w:val="C9A227"/>
          <w:spacing w:val="40"/>
          <w:sz w:val="20"/>
          <w:szCs w:val="20"/>
        </w:rPr>
        <w:t xml:space="preserve">CHAPTER 8</w:t>
      </w:r>
    </w:p>
    <w:p>
      <w:pPr>
        <w:pStyle w:val="Heading1"/>
        <w:pBdr>
          <w:bottom w:val="single" w:color="C9A227" w:sz="10" w:space="4"/>
        </w:pBdr>
        <w:spacing w:after="280"/>
      </w:pPr>
      <w:r>
        <w:rPr>
          <w:rFonts w:ascii="Georgia" w:cs="Georgia" w:eastAsia="Georgia" w:hAnsi="Georgia"/>
          <w:b/>
          <w:bCs/>
          <w:color w:val="1B2A4A"/>
          <w:sz w:val="44"/>
          <w:szCs w:val="44"/>
        </w:rPr>
        <w:t xml:space="preserve">Implementation Roadmap 2026-2030</w:t>
      </w:r>
    </w:p>
    <w:p>
      <w:pPr>
        <w:pStyle w:val="Heading2"/>
        <w:keepNext/>
        <w:spacing w:after="140" w:before="340"/>
      </w:pPr>
      <w:r>
        <w:rPr>
          <w:rFonts w:ascii="Georgia" w:cs="Georgia" w:eastAsia="Georgia" w:hAnsi="Georgia"/>
          <w:b/>
          <w:bCs/>
          <w:color w:val="1B2A4A"/>
          <w:sz w:val="30"/>
          <w:szCs w:val="30"/>
        </w:rPr>
        <w:t xml:space="preserve">8.1 Design principles for the national rollout</w:t>
      </w:r>
    </w:p>
    <w:p>
      <w:pPr>
        <w:spacing w:after="160" w:line="300"/>
        <w:jc w:val="both"/>
      </w:pPr>
      <w:r>
        <w:t xml:space="preserve">Three benchmark lessons govern the roadmap:</w:t>
      </w:r>
    </w:p>
    <w:p>
      <w:pPr>
        <w:spacing w:after="90" w:line="290"/>
        <w:ind w:left="380" w:hanging="180"/>
      </w:pPr>
      <w:r>
        <w:rPr>
          <w:b/>
          <w:bCs/>
          <w:color w:val="1B2A4A"/>
        </w:rPr>
        <w:t xml:space="preserve">1. </w:t>
      </w:r>
      <w:r>
        <w:rPr>
          <w:b/>
          <w:bCs/>
        </w:rPr>
        <w:t xml:space="preserve">Launch nationally, day one.</w:t>
      </w:r>
      <w:r>
        <w:t xml:space="preserve"> Lithuania, Slovakia, Malta, Romania, Hungary, Ireland and Austria all launched nationally in a single step; none phased by region (Reloop, 2026).</w:t>
      </w:r>
    </w:p>
    <w:p>
      <w:pPr>
        <w:spacing w:after="90" w:line="290"/>
        <w:ind w:left="380" w:hanging="180"/>
      </w:pPr>
      <w:r>
        <w:rPr>
          <w:b/>
          <w:bCs/>
          <w:color w:val="1B2A4A"/>
        </w:rPr>
        <w:t xml:space="preserve">2. </w:t>
      </w:r>
      <w:r>
        <w:rPr>
          <w:b/>
          <w:bCs/>
        </w:rPr>
        <w:t xml:space="preserve">Legislate before you build.</w:t>
      </w:r>
      <w:r>
        <w:t xml:space="preserve"> Scotland signed infrastructure contracts before its legal framework was final and paid £86.2m for the mistake (Insider, 2023). The UAE sequence below puts the Cabinet Resolution ahead of all irrevocable capital commitments.</w:t>
      </w:r>
    </w:p>
    <w:p>
      <w:pPr>
        <w:spacing w:after="90" w:line="290"/>
        <w:ind w:left="380" w:hanging="180"/>
      </w:pPr>
      <w:r>
        <w:rPr>
          <w:b/>
          <w:bCs/>
          <w:color w:val="1B2A4A"/>
        </w:rPr>
        <w:t xml:space="preserve">3. </w:t>
      </w:r>
      <w:r>
        <w:rPr>
          <w:b/>
          <w:bCs/>
        </w:rPr>
        <w:t xml:space="preserve">New systems reach 80-90% within 12-24 months</w:t>
      </w:r>
      <w:r>
        <w:t xml:space="preserve"> when deposit and network density are right: Romania 84% at month 11, Hungary 88.8% in year 2, Austria 81.5% in year 1, Ireland 91% in-scope recycling by year 2 (Reloop, 2026; Oireachtas, 2025). The UAE plan adopts a deliberately more moderate ramp - </w:t>
      </w:r>
      <w:r>
        <w:rPr>
          <w:b/>
          <w:bCs/>
        </w:rPr>
        <w:t xml:space="preserve">55% in year 1 to 90% by year 7</w:t>
      </w:r>
      <w:r>
        <w:t xml:space="preserve"> (R7) - reflecting first-in-region status and network build-out.</w:t>
      </w:r>
    </w:p>
    <w:p>
      <w:pPr>
        <w:pStyle w:val="Heading2"/>
        <w:keepNext/>
        <w:spacing w:after="140" w:before="340"/>
      </w:pPr>
      <w:r>
        <w:rPr>
          <w:rFonts w:ascii="Georgia" w:cs="Georgia" w:eastAsia="Georgia" w:hAnsi="Georgia"/>
          <w:b/>
          <w:bCs/>
          <w:color w:val="1B2A4A"/>
          <w:sz w:val="30"/>
          <w:szCs w:val="30"/>
        </w:rPr>
        <w:t xml:space="preserve">8.2 Phase plan</w:t>
      </w:r>
    </w:p>
    <w:p>
      <w:pPr>
        <w:spacing w:after="40" w:before="200"/>
        <w:jc w:val="center"/>
      </w:pPr>
      <w:r>
        <w:drawing>
          <wp:inline distT="0" distB="0" distL="0" distR="0">
            <wp:extent cx="5524500" cy="3752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5524500" cy="3752850"/>
                    </a:xfrm>
                    <a:prstGeom prst="rect">
                      <a:avLst/>
                    </a:prstGeom>
                  </pic:spPr>
                </pic:pic>
              </a:graphicData>
            </a:graphic>
          </wp:inline>
        </w:drawing>
      </w:r>
    </w:p>
    <w:p>
      <w:pPr>
        <w:spacing w:after="240" w:before="40"/>
        <w:jc w:val="center"/>
      </w:pPr>
      <w:r>
        <w:rPr>
          <w:rFonts w:ascii="Calibri" w:cs="Calibri" w:eastAsia="Calibri" w:hAnsi="Calibri"/>
          <w:i/>
          <w:iCs/>
          <w:color w:val="4A6580"/>
          <w:sz w:val="17"/>
          <w:szCs w:val="17"/>
        </w:rPr>
        <w:t xml:space="preserve">Implementation roadmap 2026-2030 - phases, milestones, the 55% → 90% return-rate ramp and CAPEX phasing.</w:t>
      </w:r>
    </w:p>
    <w:p>
      <w:pPr>
        <w:pStyle w:val="Heading3"/>
        <w:keepNext/>
        <w:spacing w:after="110" w:before="260"/>
      </w:pPr>
      <w:r>
        <w:rPr>
          <w:rFonts w:ascii="Calibri" w:cs="Calibri" w:eastAsia="Calibri" w:hAnsi="Calibri"/>
          <w:b/>
          <w:bCs/>
          <w:color w:val="4A6580"/>
          <w:sz w:val="24"/>
          <w:szCs w:val="24"/>
        </w:rPr>
        <w:t xml:space="preserve">Phase 0 - Mobilisation (H2 2026)</w:t>
      </w:r>
    </w:p>
    <w:p>
      <w:pPr>
        <w:spacing w:after="160" w:line="300"/>
        <w:jc w:val="both"/>
      </w:pPr>
      <w:r>
        <w:rPr>
          <w:b/>
          <w:bCs/>
        </w:rPr>
        <w:t xml:space="preserve">Owner: MOCCAE + MOET joint programme office; Segen / Earth Care as advisors</w:t>
      </w:r>
    </w:p>
    <w:p>
      <w:pPr>
        <w:spacing w:after="90" w:line="290"/>
        <w:ind w:left="380" w:hanging="180"/>
      </w:pPr>
      <w:r>
        <w:rPr>
          <w:b/>
          <w:bCs/>
          <w:color w:val="C9A227"/>
        </w:rPr>
        <w:t xml:space="preserve">• </w:t>
      </w:r>
      <w:r>
        <w:t xml:space="preserve">Establish the joint ministerial programme office and DRS steering committee under the UAE Circular Economy Council.</w:t>
      </w:r>
    </w:p>
    <w:p>
      <w:pPr>
        <w:spacing w:after="90" w:line="290"/>
        <w:ind w:left="380" w:hanging="180"/>
      </w:pPr>
      <w:r>
        <w:rPr>
          <w:b/>
          <w:bCs/>
          <w:color w:val="C9A227"/>
        </w:rPr>
        <w:t xml:space="preserve">• </w:t>
      </w:r>
      <w:r>
        <w:t xml:space="preserve">Confirm the legal pathway (§7.2) and instruct legislative counsel on the Cabinet Resolution (Annex 7-A as drafting basis).</w:t>
      </w:r>
    </w:p>
    <w:p>
      <w:pPr>
        <w:spacing w:after="90" w:line="290"/>
        <w:ind w:left="380" w:hanging="180"/>
      </w:pPr>
      <w:r>
        <w:rPr>
          <w:b/>
          <w:bCs/>
          <w:color w:val="C9A227"/>
        </w:rPr>
        <w:t xml:space="preserve">• </w:t>
      </w:r>
      <w:r>
        <w:t xml:space="preserve">Begin producer/importer volume validation - the PET placed-on-market figure (2.90bn base case) is survey-modelled and must be validated against producer/importer SKU data before fee levels are fixed (R7; R5 caveat).</w:t>
      </w:r>
    </w:p>
    <w:p>
      <w:pPr>
        <w:spacing w:after="90" w:line="290"/>
        <w:ind w:left="380" w:hanging="180"/>
      </w:pPr>
      <w:r>
        <w:rPr>
          <w:b/>
          <w:bCs/>
          <w:color w:val="C9A227"/>
        </w:rPr>
        <w:t xml:space="preserve">• </w:t>
      </w:r>
      <w:r>
        <w:t xml:space="preserve">Open structured consultation with producers, retailers, waste operators (see Chapter 9).</w:t>
      </w:r>
    </w:p>
    <w:p>
      <w:pPr>
        <w:spacing w:after="90" w:line="290"/>
        <w:ind w:left="380" w:hanging="180"/>
      </w:pPr>
      <w:r>
        <w:rPr>
          <w:b/>
          <w:bCs/>
          <w:color w:val="C9A227"/>
        </w:rPr>
        <w:t xml:space="preserve">• </w:t>
      </w:r>
      <w:r>
        <w:t xml:space="preserve">Deliverable: </w:t>
      </w:r>
      <w:r>
        <w:rPr>
          <w:b/>
          <w:bCs/>
        </w:rPr>
        <w:t xml:space="preserve">DRS policy paper approved by both ministries; drafting instructions issued.</w:t>
      </w:r>
    </w:p>
    <w:p>
      <w:pPr>
        <w:pStyle w:val="Heading3"/>
        <w:keepNext/>
        <w:spacing w:after="110" w:before="260"/>
      </w:pPr>
      <w:r>
        <w:rPr>
          <w:rFonts w:ascii="Calibri" w:cs="Calibri" w:eastAsia="Calibri" w:hAnsi="Calibri"/>
          <w:b/>
          <w:bCs/>
          <w:color w:val="4A6580"/>
          <w:sz w:val="24"/>
          <w:szCs w:val="24"/>
        </w:rPr>
        <w:t xml:space="preserve">Phase 1 - Legislation &amp; operator licensing (2027)</w:t>
      </w:r>
    </w:p>
    <w:p>
      <w:pPr>
        <w:spacing w:after="160" w:line="300"/>
        <w:jc w:val="both"/>
      </w:pPr>
      <w:r>
        <w:rPr>
          <w:b/>
          <w:bCs/>
        </w:rPr>
        <w:t xml:space="preserve">Owner: MOCCAE (lead), MOET (co-sponsor), Cabinet Affairs</w:t>
      </w:r>
    </w:p>
    <w:p>
      <w:pPr>
        <w:spacing w:after="90" w:line="290"/>
        <w:ind w:left="380" w:hanging="180"/>
      </w:pPr>
      <w:r>
        <w:rPr>
          <w:b/>
          <w:bCs/>
          <w:color w:val="C9A227"/>
        </w:rPr>
        <w:t xml:space="preserve">• </w:t>
      </w:r>
      <w:r>
        <w:t xml:space="preserve">Cabinet Resolution issued under Federal Law No. 12 of 2018 (target: H1 2027).</w:t>
      </w:r>
    </w:p>
    <w:p>
      <w:pPr>
        <w:spacing w:after="90" w:line="290"/>
        <w:ind w:left="380" w:hanging="180"/>
      </w:pPr>
      <w:r>
        <w:rPr>
          <w:b/>
          <w:bCs/>
          <w:color w:val="C9A227"/>
        </w:rPr>
        <w:t xml:space="preserve">• </w:t>
      </w:r>
      <w:r>
        <w:t xml:space="preserve">DSO licence competition and award (target: H2 2027); SPV formation with not-for-profit charter, governance including industry and government representation (Romania 20% state / 80% industry precedent).</w:t>
      </w:r>
    </w:p>
    <w:p>
      <w:pPr>
        <w:spacing w:after="90" w:line="290"/>
        <w:ind w:left="380" w:hanging="180"/>
      </w:pPr>
      <w:r>
        <w:rPr>
          <w:b/>
          <w:bCs/>
          <w:color w:val="C9A227"/>
        </w:rPr>
        <w:t xml:space="preserve">• </w:t>
      </w:r>
      <w:r>
        <w:t xml:space="preserve">Escrow and clearing-bank arrangements executed; independent auditor appointed.</w:t>
      </w:r>
    </w:p>
    <w:p>
      <w:pPr>
        <w:spacing w:after="90" w:line="290"/>
        <w:ind w:left="380" w:hanging="180"/>
      </w:pPr>
      <w:r>
        <w:rPr>
          <w:b/>
          <w:bCs/>
          <w:color w:val="C9A227"/>
        </w:rPr>
        <w:t xml:space="preserve">• </w:t>
      </w:r>
      <w:r>
        <w:t xml:space="preserve">Emirate implementation agreements signed with Tadweer (Abu Dhabi), Dubai Municipality, BEEAH (Sharjah) and northern-emirate authorities.</w:t>
      </w:r>
    </w:p>
    <w:p>
      <w:pPr>
        <w:spacing w:after="90" w:line="290"/>
        <w:ind w:left="380" w:hanging="180"/>
      </w:pPr>
      <w:r>
        <w:rPr>
          <w:b/>
          <w:bCs/>
          <w:color w:val="C9A227"/>
        </w:rPr>
        <w:t xml:space="preserve">• </w:t>
      </w:r>
      <w:r>
        <w:t xml:space="preserve">EPR integration instrument agreed so DRS registration discharges EPR packaging obligations (§7.5).</w:t>
      </w:r>
    </w:p>
    <w:p>
      <w:pPr>
        <w:spacing w:after="90" w:line="290"/>
        <w:ind w:left="380" w:hanging="180"/>
      </w:pPr>
      <w:r>
        <w:rPr>
          <w:b/>
          <w:bCs/>
          <w:color w:val="C9A227"/>
        </w:rPr>
        <w:t xml:space="preserve">• </w:t>
      </w:r>
      <w:r>
        <w:t xml:space="preserve">CAPEX 2027: </w:t>
      </w:r>
      <w:r>
        <w:rPr>
          <w:b/>
          <w:bCs/>
        </w:rPr>
        <w:t xml:space="preserve">AED 247m</w:t>
      </w:r>
      <w:r>
        <w:t xml:space="preserve"> committed (R7) - central IT platform build starts (6-12 month build, Slovakia-type precedent), counting-centre sites secured.</w:t>
      </w:r>
    </w:p>
    <w:p>
      <w:pPr>
        <w:spacing w:after="90" w:line="290"/>
        <w:ind w:left="380" w:hanging="180"/>
      </w:pPr>
      <w:r>
        <w:rPr>
          <w:b/>
          <w:bCs/>
          <w:color w:val="C9A227"/>
        </w:rPr>
        <w:t xml:space="preserve">• </w:t>
      </w:r>
      <w:r>
        <w:t xml:space="preserve">Gate: </w:t>
      </w:r>
      <w:r>
        <w:rPr>
          <w:b/>
          <w:bCs/>
        </w:rPr>
        <w:t xml:space="preserve">No irrevocable RVM fleet orders before the Resolution is in force and emirate agreements signed.</w:t>
      </w:r>
    </w:p>
    <w:p>
      <w:pPr>
        <w:pStyle w:val="Heading3"/>
        <w:keepNext/>
        <w:spacing w:after="110" w:before="260"/>
      </w:pPr>
      <w:r>
        <w:rPr>
          <w:rFonts w:ascii="Calibri" w:cs="Calibri" w:eastAsia="Calibri" w:hAnsi="Calibri"/>
          <w:b/>
          <w:bCs/>
          <w:color w:val="4A6580"/>
          <w:sz w:val="24"/>
          <w:szCs w:val="24"/>
        </w:rPr>
        <w:t xml:space="preserve">Phase 2 - Build-out (2027-H1 2028)</w:t>
      </w:r>
    </w:p>
    <w:p>
      <w:pPr>
        <w:spacing w:after="160" w:line="300"/>
        <w:jc w:val="both"/>
      </w:pPr>
      <w:r>
        <w:rPr>
          <w:b/>
          <w:bCs/>
        </w:rPr>
        <w:t xml:space="preserve">Owner: DSO; oversight: programme office</w:t>
      </w:r>
    </w:p>
    <w:p>
      <w:pPr>
        <w:spacing w:after="90" w:line="290"/>
        <w:ind w:left="380" w:hanging="180"/>
      </w:pPr>
      <w:r>
        <w:rPr>
          <w:b/>
          <w:bCs/>
          <w:color w:val="C9A227"/>
        </w:rPr>
        <w:t xml:space="preserve">• </w:t>
      </w:r>
      <w:r>
        <w:t xml:space="preserve">RVM procurement and installation toward the </w:t>
      </w:r>
      <w:r>
        <w:rPr>
          <w:b/>
          <w:bCs/>
        </w:rPr>
        <w:t xml:space="preserve">3,500-machine national fleet</w:t>
      </w:r>
      <w:r>
        <w:t xml:space="preserve"> (AED 385m installed, R7); network plan toward ~9,000 return points (~1,250 people/point - within the &lt;1,000-1,500 band where best performers cluster, Reloop GDB, 2024).</w:t>
      </w:r>
    </w:p>
    <w:p>
      <w:pPr>
        <w:spacing w:after="90" w:line="290"/>
        <w:ind w:left="380" w:hanging="180"/>
      </w:pPr>
      <w:r>
        <w:rPr>
          <w:b/>
          <w:bCs/>
          <w:color w:val="C9A227"/>
        </w:rPr>
        <w:t xml:space="preserve">• </w:t>
      </w:r>
      <w:r>
        <w:t xml:space="preserve">Three counting/sorting centres under construction: Dubai, Abu Dhabi (co-located with Tadweer), Sharjah/Northern Emirates (AED 108m total, R7).</w:t>
      </w:r>
    </w:p>
    <w:p>
      <w:pPr>
        <w:spacing w:after="90" w:line="290"/>
        <w:ind w:left="380" w:hanging="180"/>
      </w:pPr>
      <w:r>
        <w:rPr>
          <w:b/>
          <w:bCs/>
          <w:color w:val="C9A227"/>
        </w:rPr>
        <w:t xml:space="preserve">• </w:t>
      </w:r>
      <w:r>
        <w:t xml:space="preserve">Central IT: barcode registry, clearing, escrow interface, retailer settlement, consumer app/refund rails; cybersecurity and fraud-control penetration testing.</w:t>
      </w:r>
    </w:p>
    <w:p>
      <w:pPr>
        <w:spacing w:after="90" w:line="290"/>
        <w:ind w:left="380" w:hanging="180"/>
      </w:pPr>
      <w:r>
        <w:rPr>
          <w:b/>
          <w:bCs/>
          <w:color w:val="C9A227"/>
        </w:rPr>
        <w:t xml:space="preserve">• </w:t>
      </w:r>
      <w:r>
        <w:t xml:space="preserve">Producer/importer registration wave; SKU barcode registration; deposit-mark artwork transition (12-month sell-through for legacy stock).</w:t>
      </w:r>
    </w:p>
    <w:p>
      <w:pPr>
        <w:spacing w:after="90" w:line="290"/>
        <w:ind w:left="380" w:hanging="180"/>
      </w:pPr>
      <w:r>
        <w:rPr>
          <w:b/>
          <w:bCs/>
          <w:color w:val="C9A227"/>
        </w:rPr>
        <w:t xml:space="preserve">• </w:t>
      </w:r>
      <w:r>
        <w:t xml:space="preserve">Retailer onboarding: hosting agreements for RVMs at large-format stores; manual return-point contracts for small format and HoReCa.</w:t>
      </w:r>
    </w:p>
    <w:p>
      <w:pPr>
        <w:spacing w:after="90" w:line="290"/>
        <w:ind w:left="380" w:hanging="180"/>
      </w:pPr>
      <w:r>
        <w:rPr>
          <w:b/>
          <w:bCs/>
          <w:color w:val="C9A227"/>
        </w:rPr>
        <w:t xml:space="preserve">• </w:t>
      </w:r>
      <w:r>
        <w:rPr>
          <w:b/>
          <w:bCs/>
        </w:rPr>
        <w:t xml:space="preserve">Soft launch (H1 2028):</w:t>
      </w:r>
      <w:r>
        <w:t xml:space="preserve"> pilot geography (recommended: Abu Dhabi city + one Dubai corridor, building on EAD's 100+ Sparklomat RVM estate and Tadweer's 25 RVMs) to stress-test clearing, settlement and consumer UX at limited scale.</w:t>
      </w:r>
    </w:p>
    <w:p>
      <w:pPr>
        <w:spacing w:after="90" w:line="290"/>
        <w:ind w:left="380" w:hanging="180"/>
      </w:pPr>
      <w:r>
        <w:rPr>
          <w:b/>
          <w:bCs/>
          <w:color w:val="C9A227"/>
        </w:rPr>
        <w:t xml:space="preserve">• </w:t>
      </w:r>
      <w:r>
        <w:t xml:space="preserve">CAPEX 2028: </w:t>
      </w:r>
      <w:r>
        <w:rPr>
          <w:b/>
          <w:bCs/>
        </w:rPr>
        <w:t xml:space="preserve">AED 279m</w:t>
      </w:r>
      <w:r>
        <w:t xml:space="preserve"> (R7) - the peak build year.</w:t>
      </w:r>
    </w:p>
    <w:p>
      <w:pPr>
        <w:pStyle w:val="Heading3"/>
        <w:keepNext/>
        <w:spacing w:after="110" w:before="260"/>
      </w:pPr>
      <w:r>
        <w:rPr>
          <w:rFonts w:ascii="Calibri" w:cs="Calibri" w:eastAsia="Calibri" w:hAnsi="Calibri"/>
          <w:b/>
          <w:bCs/>
          <w:color w:val="4A6580"/>
          <w:sz w:val="24"/>
          <w:szCs w:val="24"/>
        </w:rPr>
        <w:t xml:space="preserve">Phase 3 - Full national launch (H2 2028)</w:t>
      </w:r>
    </w:p>
    <w:p>
      <w:pPr>
        <w:spacing w:after="160" w:line="300"/>
        <w:jc w:val="both"/>
      </w:pPr>
      <w:r>
        <w:rPr>
          <w:b/>
          <w:bCs/>
        </w:rPr>
        <w:t xml:space="preserve">Owner: DSO; regulator: MOCCAE</w:t>
      </w:r>
    </w:p>
    <w:p>
      <w:pPr>
        <w:spacing w:after="90" w:line="290"/>
        <w:ind w:left="380" w:hanging="180"/>
      </w:pPr>
      <w:r>
        <w:rPr>
          <w:b/>
          <w:bCs/>
          <w:color w:val="C9A227"/>
        </w:rPr>
        <w:t xml:space="preserve">• </w:t>
      </w:r>
      <w:r>
        <w:t xml:space="preserve">Deposit goes live nationally on a single date across all seven emirates; ~3.74bn containers/year placed on market enter the deposit regime (R7 base case).</w:t>
      </w:r>
    </w:p>
    <w:p>
      <w:pPr>
        <w:spacing w:after="90" w:line="290"/>
        <w:ind w:left="380" w:hanging="180"/>
      </w:pPr>
      <w:r>
        <w:rPr>
          <w:b/>
          <w:bCs/>
          <w:color w:val="C9A227"/>
        </w:rPr>
        <w:t xml:space="preserve">• </w:t>
      </w:r>
      <w:r>
        <w:t xml:space="preserve">National consumer campaign (Arabic/English creative; tourism-channel messaging) - Lithuania's experience shows public acceptance follows visible convenience: 97% support within two years of launch (USAD, 2019).</w:t>
      </w:r>
    </w:p>
    <w:p>
      <w:pPr>
        <w:spacing w:after="90" w:line="290"/>
        <w:ind w:left="380" w:hanging="180"/>
      </w:pPr>
      <w:r>
        <w:rPr>
          <w:b/>
          <w:bCs/>
          <w:color w:val="C9A227"/>
        </w:rPr>
        <w:t xml:space="preserve">• </w:t>
      </w:r>
      <w:r>
        <w:t xml:space="preserve">Year-1 target: </w:t>
      </w:r>
      <w:r>
        <w:rPr>
          <w:b/>
          <w:bCs/>
        </w:rPr>
        <w:t xml:space="preserve">55% return rate</w:t>
      </w:r>
      <w:r>
        <w:t xml:space="preserve"> (R7) - deliberately below the fastest EU launches.</w:t>
      </w:r>
    </w:p>
    <w:p>
      <w:pPr>
        <w:spacing w:after="90" w:line="290"/>
        <w:ind w:left="380" w:hanging="180"/>
      </w:pPr>
      <w:r>
        <w:rPr>
          <w:b/>
          <w:bCs/>
          <w:color w:val="C9A227"/>
        </w:rPr>
        <w:t xml:space="preserve">• </w:t>
      </w:r>
      <w:r>
        <w:t xml:space="preserve">Deposit float at year 1: gross annual deposits ~</w:t>
      </w:r>
      <w:r>
        <w:rPr>
          <w:b/>
          <w:bCs/>
        </w:rPr>
        <w:t xml:space="preserve">AED 935m</w:t>
      </w:r>
      <w:r>
        <w:t xml:space="preserve">, held in transparent escrow (memo item - never operator revenue, R7).</w:t>
      </w:r>
    </w:p>
    <w:p>
      <w:pPr>
        <w:pStyle w:val="Heading3"/>
        <w:keepNext/>
        <w:spacing w:after="110" w:before="260"/>
      </w:pPr>
      <w:r>
        <w:rPr>
          <w:rFonts w:ascii="Calibri" w:cs="Calibri" w:eastAsia="Calibri" w:hAnsi="Calibri"/>
          <w:b/>
          <w:bCs/>
          <w:color w:val="4A6580"/>
          <w:sz w:val="24"/>
          <w:szCs w:val="24"/>
        </w:rPr>
        <w:t xml:space="preserve">Phase 4 - Ramp to steady state (2029-2030)</w:t>
      </w:r>
    </w:p>
    <w:p>
      <w:pPr>
        <w:spacing w:after="160" w:line="300"/>
        <w:jc w:val="both"/>
      </w:pPr>
      <w:r>
        <w:rPr>
          <w:b/>
          <w:bCs/>
        </w:rPr>
        <w:t xml:space="preserve">Owner: DSO; oversight: programme office</w:t>
      </w:r>
    </w:p>
    <w:p>
      <w:pPr>
        <w:spacing w:after="40" w:before="200"/>
        <w:jc w:val="center"/>
      </w:pPr>
      <w:r>
        <w:drawing>
          <wp:inline distT="0" distB="0" distL="0" distR="0">
            <wp:extent cx="5524500" cy="3552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5524500" cy="3552825"/>
                    </a:xfrm>
                    <a:prstGeom prst="rect">
                      <a:avLst/>
                    </a:prstGeom>
                  </pic:spPr>
                </pic:pic>
              </a:graphicData>
            </a:graphic>
          </wp:inline>
        </w:drawing>
      </w:r>
    </w:p>
    <w:p>
      <w:pPr>
        <w:spacing w:after="240" w:before="40"/>
        <w:jc w:val="center"/>
      </w:pPr>
      <w:r>
        <w:rPr>
          <w:rFonts w:ascii="Calibri" w:cs="Calibri" w:eastAsia="Calibri" w:hAnsi="Calibri"/>
          <w:i/>
          <w:iCs/>
          <w:color w:val="4A6580"/>
          <w:sz w:val="17"/>
          <w:szCs w:val="17"/>
        </w:rPr>
        <w:t xml:space="preserve">Statutory return-rate trajectory - 55% at launch rising to 90% by 2034.</w:t>
      </w:r>
    </w:p>
    <w:p>
      <w:pPr>
        <w:spacing w:after="90" w:line="290"/>
        <w:ind w:left="380" w:hanging="180"/>
      </w:pPr>
      <w:r>
        <w:rPr>
          <w:b/>
          <w:bCs/>
          <w:color w:val="C9A227"/>
        </w:rPr>
        <w:t xml:space="preserve">• </w:t>
      </w:r>
      <w:r>
        <w:t xml:space="preserve">Return-rate ramp: </w:t>
      </w:r>
      <w:r>
        <w:rPr>
          <w:b/>
          <w:bCs/>
        </w:rPr>
        <w:t xml:space="preserve">70% (2029) → 78% (2030)</w:t>
      </w:r>
      <w:r>
        <w:t xml:space="preserve"> on the path to 90% by 2034 (R7).</w:t>
      </w:r>
    </w:p>
    <w:p>
      <w:pPr>
        <w:spacing w:after="90" w:line="290"/>
        <w:ind w:left="380" w:hanging="180"/>
      </w:pPr>
      <w:r>
        <w:rPr>
          <w:b/>
          <w:bCs/>
          <w:color w:val="C9A227"/>
        </w:rPr>
        <w:t xml:space="preserve">• </w:t>
      </w:r>
      <w:r>
        <w:t xml:space="preserve">First statutory reviews: deposit level and producer fees at year 2 (2030) against achieved rates, cost-recovery formula, and Türkiye's first-year results (R7 §4).</w:t>
      </w:r>
    </w:p>
    <w:p>
      <w:pPr>
        <w:spacing w:after="90" w:line="290"/>
        <w:ind w:left="380" w:hanging="180"/>
      </w:pPr>
      <w:r>
        <w:rPr>
          <w:b/>
          <w:bCs/>
          <w:color w:val="C9A227"/>
        </w:rPr>
        <w:t xml:space="preserve">• </w:t>
      </w:r>
      <w:r>
        <w:t xml:space="preserve">Remaining CAPEX: </w:t>
      </w:r>
      <w:r>
        <w:rPr>
          <w:b/>
          <w:bCs/>
        </w:rPr>
        <w:t xml:space="preserve">AED 97m in 2029</w:t>
      </w:r>
      <w:r>
        <w:t xml:space="preserve"> completes the programme (total </w:t>
      </w:r>
      <w:r>
        <w:rPr>
          <w:b/>
          <w:bCs/>
        </w:rPr>
        <w:t xml:space="preserve">AED 664m</w:t>
      </w:r>
      <w:r>
        <w:t xml:space="preserve">, R7).</w:t>
      </w:r>
    </w:p>
    <w:p>
      <w:pPr>
        <w:spacing w:after="90" w:line="290"/>
        <w:ind w:left="380" w:hanging="180"/>
      </w:pPr>
      <w:r>
        <w:rPr>
          <w:b/>
          <w:bCs/>
          <w:color w:val="C9A227"/>
        </w:rPr>
        <w:t xml:space="preserve">• </w:t>
      </w:r>
      <w:r>
        <w:t xml:space="preserve">Eco-modulation of producer fees (coloured PET, sleeves) introduced at first review - now standard practice in Finland, Norway, Slovakia, Romania, Estonia (Reloop, 2026).</w:t>
      </w:r>
    </w:p>
    <w:p>
      <w:pPr>
        <w:spacing w:after="90" w:line="290"/>
        <w:ind w:left="380" w:hanging="180"/>
      </w:pPr>
      <w:r>
        <w:rPr>
          <w:b/>
          <w:bCs/>
          <w:color w:val="C9A227"/>
        </w:rPr>
        <w:t xml:space="preserve">• </w:t>
      </w:r>
      <w:r>
        <w:t xml:space="preserve">Federal decree-law drafting to entrench the regime (§7.2 Option B) informed by two years of operational data.</w:t>
      </w:r>
    </w:p>
    <w:p>
      <w:pPr>
        <w:spacing w:after="90" w:line="290"/>
        <w:ind w:left="380" w:hanging="180"/>
      </w:pPr>
      <w:r>
        <w:rPr>
          <w:b/>
          <w:bCs/>
          <w:color w:val="C9A227"/>
        </w:rPr>
        <w:t xml:space="preserve">• </w:t>
      </w:r>
      <w:r>
        <w:t xml:space="preserve">Financial trajectory: system payback </w:t>
      </w:r>
      <w:r>
        <w:rPr>
          <w:b/>
          <w:bCs/>
        </w:rPr>
        <w:t xml:space="preserve">2031</w:t>
      </w:r>
      <w:r>
        <w:t xml:space="preserve"> (year 4 of operations); steady-state EBITDA margin ~9-10% of revenue (R7).</w:t>
      </w:r>
    </w:p>
    <w:p>
      <w:pPr>
        <w:pStyle w:val="Heading2"/>
        <w:keepNext/>
        <w:spacing w:after="140" w:before="340"/>
      </w:pPr>
      <w:r>
        <w:rPr>
          <w:rFonts w:ascii="Georgia" w:cs="Georgia" w:eastAsia="Georgia" w:hAnsi="Georgia"/>
          <w:b/>
          <w:bCs/>
          <w:color w:val="1B2A4A"/>
          <w:sz w:val="30"/>
          <w:szCs w:val="30"/>
        </w:rPr>
        <w:t xml:space="preserve">8.3 Milestones, owners and dependencies</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1747"/>
        <w:gridCol w:w="1747"/>
        <w:gridCol w:w="1747"/>
        <w:gridCol w:w="1747"/>
        <w:gridCol w:w="1750"/>
      </w:tblGrid>
      <w:tr>
        <w:trPr>
          <w:tblHeader/>
        </w:trPr>
        <w:tc>
          <w:tcPr>
            <w:tcW w:type="dxa" w:w="1747"/>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w:t>
            </w:r>
          </w:p>
        </w:tc>
        <w:tc>
          <w:tcPr>
            <w:tcW w:type="dxa" w:w="1747"/>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Milestone</w:t>
            </w:r>
          </w:p>
        </w:tc>
        <w:tc>
          <w:tcPr>
            <w:tcW w:type="dxa" w:w="1747"/>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Target</w:t>
            </w:r>
          </w:p>
        </w:tc>
        <w:tc>
          <w:tcPr>
            <w:tcW w:type="dxa" w:w="1747"/>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Owner</w:t>
            </w:r>
          </w:p>
        </w:tc>
        <w:tc>
          <w:tcPr>
            <w:tcW w:type="dxa" w:w="1750"/>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Critical dependencies</w:t>
            </w:r>
          </w:p>
        </w:tc>
      </w:tr>
      <w:tr>
        <w:tc>
          <w:tcPr>
            <w:tcW w:type="dxa" w:w="1747"/>
            <w:shd w:fill="FFFFFF" w:val="clear"/>
            <w:tcMar>
              <w:top w:type="dxa" w:w="80"/>
              <w:left w:type="dxa" w:w="100"/>
              <w:bottom w:type="dxa" w:w="80"/>
              <w:right w:type="dxa" w:w="100"/>
            </w:tcMar>
          </w:tcPr>
          <w:p>
            <w:pPr>
              <w:spacing w:after="0" w:line="240"/>
            </w:pPr>
            <w:r>
              <w:rPr>
                <w:sz w:val="17"/>
                <w:szCs w:val="17"/>
              </w:rPr>
              <w:t xml:space="preserve">M1</w:t>
            </w:r>
          </w:p>
        </w:tc>
        <w:tc>
          <w:tcPr>
            <w:tcW w:type="dxa" w:w="1747"/>
            <w:shd w:fill="FFFFFF" w:val="clear"/>
            <w:tcMar>
              <w:top w:type="dxa" w:w="80"/>
              <w:left w:type="dxa" w:w="100"/>
              <w:bottom w:type="dxa" w:w="80"/>
              <w:right w:type="dxa" w:w="100"/>
            </w:tcMar>
          </w:tcPr>
          <w:p>
            <w:pPr>
              <w:spacing w:after="0" w:line="240"/>
            </w:pPr>
            <w:r>
              <w:rPr>
                <w:sz w:val="17"/>
                <w:szCs w:val="17"/>
              </w:rPr>
              <w:t xml:space="preserve">Joint programme office stood up</w:t>
            </w:r>
          </w:p>
        </w:tc>
        <w:tc>
          <w:tcPr>
            <w:tcW w:type="dxa" w:w="1747"/>
            <w:shd w:fill="FFFFFF" w:val="clear"/>
            <w:tcMar>
              <w:top w:type="dxa" w:w="80"/>
              <w:left w:type="dxa" w:w="100"/>
              <w:bottom w:type="dxa" w:w="80"/>
              <w:right w:type="dxa" w:w="100"/>
            </w:tcMar>
          </w:tcPr>
          <w:p>
            <w:pPr>
              <w:spacing w:after="0" w:line="240"/>
            </w:pPr>
            <w:r>
              <w:rPr>
                <w:sz w:val="17"/>
                <w:szCs w:val="17"/>
              </w:rPr>
              <w:t xml:space="preserve">Q4 2026</w:t>
            </w:r>
          </w:p>
        </w:tc>
        <w:tc>
          <w:tcPr>
            <w:tcW w:type="dxa" w:w="1747"/>
            <w:shd w:fill="FFFFFF" w:val="clear"/>
            <w:tcMar>
              <w:top w:type="dxa" w:w="80"/>
              <w:left w:type="dxa" w:w="100"/>
              <w:bottom w:type="dxa" w:w="80"/>
              <w:right w:type="dxa" w:w="100"/>
            </w:tcMar>
          </w:tcPr>
          <w:p>
            <w:pPr>
              <w:spacing w:after="0" w:line="240"/>
            </w:pPr>
            <w:r>
              <w:rPr>
                <w:sz w:val="17"/>
                <w:szCs w:val="17"/>
              </w:rPr>
              <w:t xml:space="preserve">MOCCAE + MOET</w:t>
            </w:r>
          </w:p>
        </w:tc>
        <w:tc>
          <w:tcPr>
            <w:tcW w:type="dxa" w:w="1750"/>
            <w:shd w:fill="FFFFFF" w:val="clear"/>
            <w:tcMar>
              <w:top w:type="dxa" w:w="80"/>
              <w:left w:type="dxa" w:w="100"/>
              <w:bottom w:type="dxa" w:w="80"/>
              <w:right w:type="dxa" w:w="100"/>
            </w:tcMar>
          </w:tcPr>
          <w:p>
            <w:pPr>
              <w:spacing w:after="0" w:line="240"/>
            </w:pPr>
            <w:r>
              <w:rPr>
                <w:sz w:val="17"/>
                <w:szCs w:val="17"/>
              </w:rPr>
              <w:t xml:space="preserve">Ministerial sponsorship confirmed</w:t>
            </w:r>
          </w:p>
        </w:tc>
      </w:tr>
      <w:tr>
        <w:tc>
          <w:tcPr>
            <w:tcW w:type="dxa" w:w="1747"/>
            <w:shd w:fill="F5F1E8" w:val="clear"/>
            <w:tcMar>
              <w:top w:type="dxa" w:w="80"/>
              <w:left w:type="dxa" w:w="100"/>
              <w:bottom w:type="dxa" w:w="80"/>
              <w:right w:type="dxa" w:w="100"/>
            </w:tcMar>
          </w:tcPr>
          <w:p>
            <w:pPr>
              <w:spacing w:after="0" w:line="240"/>
            </w:pPr>
            <w:r>
              <w:rPr>
                <w:sz w:val="17"/>
                <w:szCs w:val="17"/>
              </w:rPr>
              <w:t xml:space="preserve">M2</w:t>
            </w:r>
          </w:p>
        </w:tc>
        <w:tc>
          <w:tcPr>
            <w:tcW w:type="dxa" w:w="1747"/>
            <w:shd w:fill="F5F1E8" w:val="clear"/>
            <w:tcMar>
              <w:top w:type="dxa" w:w="80"/>
              <w:left w:type="dxa" w:w="100"/>
              <w:bottom w:type="dxa" w:w="80"/>
              <w:right w:type="dxa" w:w="100"/>
            </w:tcMar>
          </w:tcPr>
          <w:p>
            <w:pPr>
              <w:spacing w:after="0" w:line="240"/>
            </w:pPr>
            <w:r>
              <w:rPr>
                <w:sz w:val="17"/>
                <w:szCs w:val="17"/>
              </w:rPr>
              <w:t xml:space="preserve">POM volume validation complete</w:t>
            </w:r>
          </w:p>
        </w:tc>
        <w:tc>
          <w:tcPr>
            <w:tcW w:type="dxa" w:w="1747"/>
            <w:shd w:fill="F5F1E8" w:val="clear"/>
            <w:tcMar>
              <w:top w:type="dxa" w:w="80"/>
              <w:left w:type="dxa" w:w="100"/>
              <w:bottom w:type="dxa" w:w="80"/>
              <w:right w:type="dxa" w:w="100"/>
            </w:tcMar>
          </w:tcPr>
          <w:p>
            <w:pPr>
              <w:spacing w:after="0" w:line="240"/>
            </w:pPr>
            <w:r>
              <w:rPr>
                <w:sz w:val="17"/>
                <w:szCs w:val="17"/>
              </w:rPr>
              <w:t xml:space="preserve">Q1 2027</w:t>
            </w:r>
          </w:p>
        </w:tc>
        <w:tc>
          <w:tcPr>
            <w:tcW w:type="dxa" w:w="1747"/>
            <w:shd w:fill="F5F1E8" w:val="clear"/>
            <w:tcMar>
              <w:top w:type="dxa" w:w="80"/>
              <w:left w:type="dxa" w:w="100"/>
              <w:bottom w:type="dxa" w:w="80"/>
              <w:right w:type="dxa" w:w="100"/>
            </w:tcMar>
          </w:tcPr>
          <w:p>
            <w:pPr>
              <w:spacing w:after="0" w:line="240"/>
            </w:pPr>
            <w:r>
              <w:rPr>
                <w:sz w:val="17"/>
                <w:szCs w:val="17"/>
              </w:rPr>
              <w:t xml:space="preserve">Programme office / DSO-designate</w:t>
            </w:r>
          </w:p>
        </w:tc>
        <w:tc>
          <w:tcPr>
            <w:tcW w:type="dxa" w:w="1750"/>
            <w:shd w:fill="F5F1E8" w:val="clear"/>
            <w:tcMar>
              <w:top w:type="dxa" w:w="80"/>
              <w:left w:type="dxa" w:w="100"/>
              <w:bottom w:type="dxa" w:w="80"/>
              <w:right w:type="dxa" w:w="100"/>
            </w:tcMar>
          </w:tcPr>
          <w:p>
            <w:pPr>
              <w:spacing w:after="0" w:line="240"/>
            </w:pPr>
            <w:r>
              <w:rPr>
                <w:sz w:val="17"/>
                <w:szCs w:val="17"/>
              </w:rPr>
              <w:t xml:space="preserve">Producer &amp; importer SKU data access</w:t>
            </w:r>
          </w:p>
        </w:tc>
      </w:tr>
      <w:tr>
        <w:tc>
          <w:tcPr>
            <w:tcW w:type="dxa" w:w="1747"/>
            <w:shd w:fill="FFFFFF" w:val="clear"/>
            <w:tcMar>
              <w:top w:type="dxa" w:w="80"/>
              <w:left w:type="dxa" w:w="100"/>
              <w:bottom w:type="dxa" w:w="80"/>
              <w:right w:type="dxa" w:w="100"/>
            </w:tcMar>
          </w:tcPr>
          <w:p>
            <w:pPr>
              <w:spacing w:after="0" w:line="240"/>
            </w:pPr>
            <w:r>
              <w:rPr>
                <w:sz w:val="17"/>
                <w:szCs w:val="17"/>
              </w:rPr>
              <w:t xml:space="preserve">M3</w:t>
            </w:r>
          </w:p>
        </w:tc>
        <w:tc>
          <w:tcPr>
            <w:tcW w:type="dxa" w:w="1747"/>
            <w:shd w:fill="FFFFFF" w:val="clear"/>
            <w:tcMar>
              <w:top w:type="dxa" w:w="80"/>
              <w:left w:type="dxa" w:w="100"/>
              <w:bottom w:type="dxa" w:w="80"/>
              <w:right w:type="dxa" w:w="100"/>
            </w:tcMar>
          </w:tcPr>
          <w:p>
            <w:pPr>
              <w:spacing w:after="0" w:line="240"/>
            </w:pPr>
            <w:r>
              <w:rPr>
                <w:sz w:val="17"/>
                <w:szCs w:val="17"/>
              </w:rPr>
              <w:t xml:space="preserve">Cabinet Resolution issued</w:t>
            </w:r>
          </w:p>
        </w:tc>
        <w:tc>
          <w:tcPr>
            <w:tcW w:type="dxa" w:w="1747"/>
            <w:shd w:fill="FFFFFF" w:val="clear"/>
            <w:tcMar>
              <w:top w:type="dxa" w:w="80"/>
              <w:left w:type="dxa" w:w="100"/>
              <w:bottom w:type="dxa" w:w="80"/>
              <w:right w:type="dxa" w:w="100"/>
            </w:tcMar>
          </w:tcPr>
          <w:p>
            <w:pPr>
              <w:spacing w:after="0" w:line="240"/>
            </w:pPr>
            <w:r>
              <w:rPr>
                <w:sz w:val="17"/>
                <w:szCs w:val="17"/>
              </w:rPr>
              <w:t xml:space="preserve">H1 2027</w:t>
            </w:r>
          </w:p>
        </w:tc>
        <w:tc>
          <w:tcPr>
            <w:tcW w:type="dxa" w:w="1747"/>
            <w:shd w:fill="FFFFFF" w:val="clear"/>
            <w:tcMar>
              <w:top w:type="dxa" w:w="80"/>
              <w:left w:type="dxa" w:w="100"/>
              <w:bottom w:type="dxa" w:w="80"/>
              <w:right w:type="dxa" w:w="100"/>
            </w:tcMar>
          </w:tcPr>
          <w:p>
            <w:pPr>
              <w:spacing w:after="0" w:line="240"/>
            </w:pPr>
            <w:r>
              <w:rPr>
                <w:sz w:val="17"/>
                <w:szCs w:val="17"/>
              </w:rPr>
              <w:t xml:space="preserve">Cabinet / MOCCAE</w:t>
            </w:r>
          </w:p>
        </w:tc>
        <w:tc>
          <w:tcPr>
            <w:tcW w:type="dxa" w:w="1750"/>
            <w:shd w:fill="FFFFFF" w:val="clear"/>
            <w:tcMar>
              <w:top w:type="dxa" w:w="80"/>
              <w:left w:type="dxa" w:w="100"/>
              <w:bottom w:type="dxa" w:w="80"/>
              <w:right w:type="dxa" w:w="100"/>
            </w:tcMar>
          </w:tcPr>
          <w:p>
            <w:pPr>
              <w:spacing w:after="0" w:line="240"/>
            </w:pPr>
            <w:r>
              <w:rPr>
                <w:sz w:val="17"/>
                <w:szCs w:val="17"/>
              </w:rPr>
              <w:t xml:space="preserve">Legal pathway decision (§7.2)</w:t>
            </w:r>
          </w:p>
        </w:tc>
      </w:tr>
      <w:tr>
        <w:tc>
          <w:tcPr>
            <w:tcW w:type="dxa" w:w="1747"/>
            <w:shd w:fill="F5F1E8" w:val="clear"/>
            <w:tcMar>
              <w:top w:type="dxa" w:w="80"/>
              <w:left w:type="dxa" w:w="100"/>
              <w:bottom w:type="dxa" w:w="80"/>
              <w:right w:type="dxa" w:w="100"/>
            </w:tcMar>
          </w:tcPr>
          <w:p>
            <w:pPr>
              <w:spacing w:after="0" w:line="240"/>
            </w:pPr>
            <w:r>
              <w:rPr>
                <w:sz w:val="17"/>
                <w:szCs w:val="17"/>
              </w:rPr>
              <w:t xml:space="preserve">M4</w:t>
            </w:r>
          </w:p>
        </w:tc>
        <w:tc>
          <w:tcPr>
            <w:tcW w:type="dxa" w:w="1747"/>
            <w:shd w:fill="F5F1E8" w:val="clear"/>
            <w:tcMar>
              <w:top w:type="dxa" w:w="80"/>
              <w:left w:type="dxa" w:w="100"/>
              <w:bottom w:type="dxa" w:w="80"/>
              <w:right w:type="dxa" w:w="100"/>
            </w:tcMar>
          </w:tcPr>
          <w:p>
            <w:pPr>
              <w:spacing w:after="0" w:line="240"/>
            </w:pPr>
            <w:r>
              <w:rPr>
                <w:sz w:val="17"/>
                <w:szCs w:val="17"/>
              </w:rPr>
              <w:t xml:space="preserve">Emirate implementation agreements signed</w:t>
            </w:r>
          </w:p>
        </w:tc>
        <w:tc>
          <w:tcPr>
            <w:tcW w:type="dxa" w:w="1747"/>
            <w:shd w:fill="F5F1E8" w:val="clear"/>
            <w:tcMar>
              <w:top w:type="dxa" w:w="80"/>
              <w:left w:type="dxa" w:w="100"/>
              <w:bottom w:type="dxa" w:w="80"/>
              <w:right w:type="dxa" w:w="100"/>
            </w:tcMar>
          </w:tcPr>
          <w:p>
            <w:pPr>
              <w:spacing w:after="0" w:line="240"/>
            </w:pPr>
            <w:r>
              <w:rPr>
                <w:sz w:val="17"/>
                <w:szCs w:val="17"/>
              </w:rPr>
              <w:t xml:space="preserve">H2 2027</w:t>
            </w:r>
          </w:p>
        </w:tc>
        <w:tc>
          <w:tcPr>
            <w:tcW w:type="dxa" w:w="1747"/>
            <w:shd w:fill="F5F1E8" w:val="clear"/>
            <w:tcMar>
              <w:top w:type="dxa" w:w="80"/>
              <w:left w:type="dxa" w:w="100"/>
              <w:bottom w:type="dxa" w:w="80"/>
              <w:right w:type="dxa" w:w="100"/>
            </w:tcMar>
          </w:tcPr>
          <w:p>
            <w:pPr>
              <w:spacing w:after="0" w:line="240"/>
            </w:pPr>
            <w:r>
              <w:rPr>
                <w:sz w:val="17"/>
                <w:szCs w:val="17"/>
              </w:rPr>
              <w:t xml:space="preserve">MOCCAE + Tadweer / Dubai Municipality / BEEAH / N. emirates</w:t>
            </w:r>
          </w:p>
        </w:tc>
        <w:tc>
          <w:tcPr>
            <w:tcW w:type="dxa" w:w="1750"/>
            <w:shd w:fill="F5F1E8" w:val="clear"/>
            <w:tcMar>
              <w:top w:type="dxa" w:w="80"/>
              <w:left w:type="dxa" w:w="100"/>
              <w:bottom w:type="dxa" w:w="80"/>
              <w:right w:type="dxa" w:w="100"/>
            </w:tcMar>
          </w:tcPr>
          <w:p>
            <w:pPr>
              <w:spacing w:after="0" w:line="240"/>
            </w:pPr>
            <w:r>
              <w:rPr>
                <w:sz w:val="17"/>
                <w:szCs w:val="17"/>
              </w:rPr>
              <w:t xml:space="preserve">M3</w:t>
            </w:r>
          </w:p>
        </w:tc>
      </w:tr>
      <w:tr>
        <w:tc>
          <w:tcPr>
            <w:tcW w:type="dxa" w:w="1747"/>
            <w:shd w:fill="FFFFFF" w:val="clear"/>
            <w:tcMar>
              <w:top w:type="dxa" w:w="80"/>
              <w:left w:type="dxa" w:w="100"/>
              <w:bottom w:type="dxa" w:w="80"/>
              <w:right w:type="dxa" w:w="100"/>
            </w:tcMar>
          </w:tcPr>
          <w:p>
            <w:pPr>
              <w:spacing w:after="0" w:line="240"/>
            </w:pPr>
            <w:r>
              <w:rPr>
                <w:sz w:val="17"/>
                <w:szCs w:val="17"/>
              </w:rPr>
              <w:t xml:space="preserve">M5</w:t>
            </w:r>
          </w:p>
        </w:tc>
        <w:tc>
          <w:tcPr>
            <w:tcW w:type="dxa" w:w="1747"/>
            <w:shd w:fill="FFFFFF" w:val="clear"/>
            <w:tcMar>
              <w:top w:type="dxa" w:w="80"/>
              <w:left w:type="dxa" w:w="100"/>
              <w:bottom w:type="dxa" w:w="80"/>
              <w:right w:type="dxa" w:w="100"/>
            </w:tcMar>
          </w:tcPr>
          <w:p>
            <w:pPr>
              <w:spacing w:after="0" w:line="240"/>
            </w:pPr>
            <w:r>
              <w:rPr>
                <w:sz w:val="17"/>
                <w:szCs w:val="17"/>
              </w:rPr>
              <w:t xml:space="preserve">DSO licensed &amp; capitalised; escrow live</w:t>
            </w:r>
          </w:p>
        </w:tc>
        <w:tc>
          <w:tcPr>
            <w:tcW w:type="dxa" w:w="1747"/>
            <w:shd w:fill="FFFFFF" w:val="clear"/>
            <w:tcMar>
              <w:top w:type="dxa" w:w="80"/>
              <w:left w:type="dxa" w:w="100"/>
              <w:bottom w:type="dxa" w:w="80"/>
              <w:right w:type="dxa" w:w="100"/>
            </w:tcMar>
          </w:tcPr>
          <w:p>
            <w:pPr>
              <w:spacing w:after="0" w:line="240"/>
            </w:pPr>
            <w:r>
              <w:rPr>
                <w:sz w:val="17"/>
                <w:szCs w:val="17"/>
              </w:rPr>
              <w:t xml:space="preserve">H2 2027</w:t>
            </w:r>
          </w:p>
        </w:tc>
        <w:tc>
          <w:tcPr>
            <w:tcW w:type="dxa" w:w="1747"/>
            <w:shd w:fill="FFFFFF" w:val="clear"/>
            <w:tcMar>
              <w:top w:type="dxa" w:w="80"/>
              <w:left w:type="dxa" w:w="100"/>
              <w:bottom w:type="dxa" w:w="80"/>
              <w:right w:type="dxa" w:w="100"/>
            </w:tcMar>
          </w:tcPr>
          <w:p>
            <w:pPr>
              <w:spacing w:after="0" w:line="240"/>
            </w:pPr>
            <w:r>
              <w:rPr>
                <w:sz w:val="17"/>
                <w:szCs w:val="17"/>
              </w:rPr>
              <w:t xml:space="preserve">MOCCAE/MOET; DSO shareholders</w:t>
            </w:r>
          </w:p>
        </w:tc>
        <w:tc>
          <w:tcPr>
            <w:tcW w:type="dxa" w:w="1750"/>
            <w:shd w:fill="FFFFFF" w:val="clear"/>
            <w:tcMar>
              <w:top w:type="dxa" w:w="80"/>
              <w:left w:type="dxa" w:w="100"/>
              <w:bottom w:type="dxa" w:w="80"/>
              <w:right w:type="dxa" w:w="100"/>
            </w:tcMar>
          </w:tcPr>
          <w:p>
            <w:pPr>
              <w:spacing w:after="0" w:line="240"/>
            </w:pPr>
            <w:r>
              <w:rPr>
                <w:sz w:val="17"/>
                <w:szCs w:val="17"/>
              </w:rPr>
              <w:t xml:space="preserve">M3; Scotland-capitalisation lesson applied</w:t>
            </w:r>
          </w:p>
        </w:tc>
      </w:tr>
      <w:tr>
        <w:tc>
          <w:tcPr>
            <w:tcW w:type="dxa" w:w="1747"/>
            <w:shd w:fill="F5F1E8" w:val="clear"/>
            <w:tcMar>
              <w:top w:type="dxa" w:w="80"/>
              <w:left w:type="dxa" w:w="100"/>
              <w:bottom w:type="dxa" w:w="80"/>
              <w:right w:type="dxa" w:w="100"/>
            </w:tcMar>
          </w:tcPr>
          <w:p>
            <w:pPr>
              <w:spacing w:after="0" w:line="240"/>
            </w:pPr>
            <w:r>
              <w:rPr>
                <w:sz w:val="17"/>
                <w:szCs w:val="17"/>
              </w:rPr>
              <w:t xml:space="preserve">M6</w:t>
            </w:r>
          </w:p>
        </w:tc>
        <w:tc>
          <w:tcPr>
            <w:tcW w:type="dxa" w:w="1747"/>
            <w:shd w:fill="F5F1E8" w:val="clear"/>
            <w:tcMar>
              <w:top w:type="dxa" w:w="80"/>
              <w:left w:type="dxa" w:w="100"/>
              <w:bottom w:type="dxa" w:w="80"/>
              <w:right w:type="dxa" w:w="100"/>
            </w:tcMar>
          </w:tcPr>
          <w:p>
            <w:pPr>
              <w:spacing w:after="0" w:line="240"/>
            </w:pPr>
            <w:r>
              <w:rPr>
                <w:sz w:val="17"/>
                <w:szCs w:val="17"/>
              </w:rPr>
              <w:t xml:space="preserve">Central IT platform accepted</w:t>
            </w:r>
          </w:p>
        </w:tc>
        <w:tc>
          <w:tcPr>
            <w:tcW w:type="dxa" w:w="1747"/>
            <w:shd w:fill="F5F1E8" w:val="clear"/>
            <w:tcMar>
              <w:top w:type="dxa" w:w="80"/>
              <w:left w:type="dxa" w:w="100"/>
              <w:bottom w:type="dxa" w:w="80"/>
              <w:right w:type="dxa" w:w="100"/>
            </w:tcMar>
          </w:tcPr>
          <w:p>
            <w:pPr>
              <w:spacing w:after="0" w:line="240"/>
            </w:pPr>
            <w:r>
              <w:rPr>
                <w:sz w:val="17"/>
                <w:szCs w:val="17"/>
              </w:rPr>
              <w:t xml:space="preserve">H1 2028</w:t>
            </w:r>
          </w:p>
        </w:tc>
        <w:tc>
          <w:tcPr>
            <w:tcW w:type="dxa" w:w="1747"/>
            <w:shd w:fill="F5F1E8" w:val="clear"/>
            <w:tcMar>
              <w:top w:type="dxa" w:w="80"/>
              <w:left w:type="dxa" w:w="100"/>
              <w:bottom w:type="dxa" w:w="80"/>
              <w:right w:type="dxa" w:w="100"/>
            </w:tcMar>
          </w:tcPr>
          <w:p>
            <w:pPr>
              <w:spacing w:after="0" w:line="240"/>
            </w:pPr>
            <w:r>
              <w:rPr>
                <w:sz w:val="17"/>
                <w:szCs w:val="17"/>
              </w:rPr>
              <w:t xml:space="preserve">DSO</w:t>
            </w:r>
          </w:p>
        </w:tc>
        <w:tc>
          <w:tcPr>
            <w:tcW w:type="dxa" w:w="1750"/>
            <w:shd w:fill="F5F1E8" w:val="clear"/>
            <w:tcMar>
              <w:top w:type="dxa" w:w="80"/>
              <w:left w:type="dxa" w:w="100"/>
              <w:bottom w:type="dxa" w:w="80"/>
              <w:right w:type="dxa" w:w="100"/>
            </w:tcMar>
          </w:tcPr>
          <w:p>
            <w:pPr>
              <w:spacing w:after="0" w:line="240"/>
            </w:pPr>
            <w:r>
              <w:rPr>
                <w:sz w:val="17"/>
                <w:szCs w:val="17"/>
              </w:rPr>
              <w:t xml:space="preserve">M5; fraud-control penetration test passed</w:t>
            </w:r>
          </w:p>
        </w:tc>
      </w:tr>
      <w:tr>
        <w:tc>
          <w:tcPr>
            <w:tcW w:type="dxa" w:w="1747"/>
            <w:shd w:fill="FFFFFF" w:val="clear"/>
            <w:tcMar>
              <w:top w:type="dxa" w:w="80"/>
              <w:left w:type="dxa" w:w="100"/>
              <w:bottom w:type="dxa" w:w="80"/>
              <w:right w:type="dxa" w:w="100"/>
            </w:tcMar>
          </w:tcPr>
          <w:p>
            <w:pPr>
              <w:spacing w:after="0" w:line="240"/>
            </w:pPr>
            <w:r>
              <w:rPr>
                <w:sz w:val="17"/>
                <w:szCs w:val="17"/>
              </w:rPr>
              <w:t xml:space="preserve">M7</w:t>
            </w:r>
          </w:p>
        </w:tc>
        <w:tc>
          <w:tcPr>
            <w:tcW w:type="dxa" w:w="1747"/>
            <w:shd w:fill="FFFFFF" w:val="clear"/>
            <w:tcMar>
              <w:top w:type="dxa" w:w="80"/>
              <w:left w:type="dxa" w:w="100"/>
              <w:bottom w:type="dxa" w:w="80"/>
              <w:right w:type="dxa" w:w="100"/>
            </w:tcMar>
          </w:tcPr>
          <w:p>
            <w:pPr>
              <w:spacing w:after="0" w:line="240"/>
            </w:pPr>
            <w:r>
              <w:rPr>
                <w:sz w:val="17"/>
                <w:szCs w:val="17"/>
              </w:rPr>
              <w:t xml:space="preserve">Counting centres (3) commissioned</w:t>
            </w:r>
          </w:p>
        </w:tc>
        <w:tc>
          <w:tcPr>
            <w:tcW w:type="dxa" w:w="1747"/>
            <w:shd w:fill="FFFFFF" w:val="clear"/>
            <w:tcMar>
              <w:top w:type="dxa" w:w="80"/>
              <w:left w:type="dxa" w:w="100"/>
              <w:bottom w:type="dxa" w:w="80"/>
              <w:right w:type="dxa" w:w="100"/>
            </w:tcMar>
          </w:tcPr>
          <w:p>
            <w:pPr>
              <w:spacing w:after="0" w:line="240"/>
            </w:pPr>
            <w:r>
              <w:rPr>
                <w:sz w:val="17"/>
                <w:szCs w:val="17"/>
              </w:rPr>
              <w:t xml:space="preserve">H1-H2 2028</w:t>
            </w:r>
          </w:p>
        </w:tc>
        <w:tc>
          <w:tcPr>
            <w:tcW w:type="dxa" w:w="1747"/>
            <w:shd w:fill="FFFFFF" w:val="clear"/>
            <w:tcMar>
              <w:top w:type="dxa" w:w="80"/>
              <w:left w:type="dxa" w:w="100"/>
              <w:bottom w:type="dxa" w:w="80"/>
              <w:right w:type="dxa" w:w="100"/>
            </w:tcMar>
          </w:tcPr>
          <w:p>
            <w:pPr>
              <w:spacing w:after="0" w:line="240"/>
            </w:pPr>
            <w:r>
              <w:rPr>
                <w:sz w:val="17"/>
                <w:szCs w:val="17"/>
              </w:rPr>
              <w:t xml:space="preserve">DSO + emirate partners</w:t>
            </w:r>
          </w:p>
        </w:tc>
        <w:tc>
          <w:tcPr>
            <w:tcW w:type="dxa" w:w="1750"/>
            <w:shd w:fill="FFFFFF" w:val="clear"/>
            <w:tcMar>
              <w:top w:type="dxa" w:w="80"/>
              <w:left w:type="dxa" w:w="100"/>
              <w:bottom w:type="dxa" w:w="80"/>
              <w:right w:type="dxa" w:w="100"/>
            </w:tcMar>
          </w:tcPr>
          <w:p>
            <w:pPr>
              <w:spacing w:after="0" w:line="240"/>
            </w:pPr>
            <w:r>
              <w:rPr>
                <w:sz w:val="17"/>
                <w:szCs w:val="17"/>
              </w:rPr>
              <w:t xml:space="preserve">M4; site approvals</w:t>
            </w:r>
          </w:p>
        </w:tc>
      </w:tr>
      <w:tr>
        <w:tc>
          <w:tcPr>
            <w:tcW w:type="dxa" w:w="1747"/>
            <w:shd w:fill="F5F1E8" w:val="clear"/>
            <w:tcMar>
              <w:top w:type="dxa" w:w="80"/>
              <w:left w:type="dxa" w:w="100"/>
              <w:bottom w:type="dxa" w:w="80"/>
              <w:right w:type="dxa" w:w="100"/>
            </w:tcMar>
          </w:tcPr>
          <w:p>
            <w:pPr>
              <w:spacing w:after="0" w:line="240"/>
            </w:pPr>
            <w:r>
              <w:rPr>
                <w:sz w:val="17"/>
                <w:szCs w:val="17"/>
              </w:rPr>
              <w:t xml:space="preserve">M8</w:t>
            </w:r>
          </w:p>
        </w:tc>
        <w:tc>
          <w:tcPr>
            <w:tcW w:type="dxa" w:w="1747"/>
            <w:shd w:fill="F5F1E8" w:val="clear"/>
            <w:tcMar>
              <w:top w:type="dxa" w:w="80"/>
              <w:left w:type="dxa" w:w="100"/>
              <w:bottom w:type="dxa" w:w="80"/>
              <w:right w:type="dxa" w:w="100"/>
            </w:tcMar>
          </w:tcPr>
          <w:p>
            <w:pPr>
              <w:spacing w:after="0" w:line="240"/>
            </w:pPr>
            <w:r>
              <w:rPr>
                <w:sz w:val="17"/>
                <w:szCs w:val="17"/>
              </w:rPr>
              <w:t xml:space="preserve">Soft launch (Abu Dhabi + Dubai corridor)</w:t>
            </w:r>
          </w:p>
        </w:tc>
        <w:tc>
          <w:tcPr>
            <w:tcW w:type="dxa" w:w="1747"/>
            <w:shd w:fill="F5F1E8" w:val="clear"/>
            <w:tcMar>
              <w:top w:type="dxa" w:w="80"/>
              <w:left w:type="dxa" w:w="100"/>
              <w:bottom w:type="dxa" w:w="80"/>
              <w:right w:type="dxa" w:w="100"/>
            </w:tcMar>
          </w:tcPr>
          <w:p>
            <w:pPr>
              <w:spacing w:after="0" w:line="240"/>
            </w:pPr>
            <w:r>
              <w:rPr>
                <w:sz w:val="17"/>
                <w:szCs w:val="17"/>
              </w:rPr>
              <w:t xml:space="preserve">H1 2028</w:t>
            </w:r>
          </w:p>
        </w:tc>
        <w:tc>
          <w:tcPr>
            <w:tcW w:type="dxa" w:w="1747"/>
            <w:shd w:fill="F5F1E8" w:val="clear"/>
            <w:tcMar>
              <w:top w:type="dxa" w:w="80"/>
              <w:left w:type="dxa" w:w="100"/>
              <w:bottom w:type="dxa" w:w="80"/>
              <w:right w:type="dxa" w:w="100"/>
            </w:tcMar>
          </w:tcPr>
          <w:p>
            <w:pPr>
              <w:spacing w:after="0" w:line="240"/>
            </w:pPr>
            <w:r>
              <w:rPr>
                <w:sz w:val="17"/>
                <w:szCs w:val="17"/>
              </w:rPr>
              <w:t xml:space="preserve">DSO</w:t>
            </w:r>
          </w:p>
        </w:tc>
        <w:tc>
          <w:tcPr>
            <w:tcW w:type="dxa" w:w="1750"/>
            <w:shd w:fill="F5F1E8" w:val="clear"/>
            <w:tcMar>
              <w:top w:type="dxa" w:w="80"/>
              <w:left w:type="dxa" w:w="100"/>
              <w:bottom w:type="dxa" w:w="80"/>
              <w:right w:type="dxa" w:w="100"/>
            </w:tcMar>
          </w:tcPr>
          <w:p>
            <w:pPr>
              <w:spacing w:after="0" w:line="240"/>
            </w:pPr>
            <w:r>
              <w:rPr>
                <w:sz w:val="17"/>
                <w:szCs w:val="17"/>
              </w:rPr>
              <w:t xml:space="preserve">M5, M6; ≥300 RVMs installed</w:t>
            </w:r>
          </w:p>
        </w:tc>
      </w:tr>
      <w:tr>
        <w:tc>
          <w:tcPr>
            <w:tcW w:type="dxa" w:w="1747"/>
            <w:shd w:fill="FFFFFF" w:val="clear"/>
            <w:tcMar>
              <w:top w:type="dxa" w:w="80"/>
              <w:left w:type="dxa" w:w="100"/>
              <w:bottom w:type="dxa" w:w="80"/>
              <w:right w:type="dxa" w:w="100"/>
            </w:tcMar>
          </w:tcPr>
          <w:p>
            <w:pPr>
              <w:spacing w:after="0" w:line="240"/>
            </w:pPr>
            <w:r>
              <w:rPr>
                <w:sz w:val="17"/>
                <w:szCs w:val="17"/>
              </w:rPr>
              <w:t xml:space="preserve">M9</w:t>
            </w:r>
          </w:p>
        </w:tc>
        <w:tc>
          <w:tcPr>
            <w:tcW w:type="dxa" w:w="1747"/>
            <w:shd w:fill="FFFFFF" w:val="clear"/>
            <w:tcMar>
              <w:top w:type="dxa" w:w="80"/>
              <w:left w:type="dxa" w:w="100"/>
              <w:bottom w:type="dxa" w:w="80"/>
              <w:right w:type="dxa" w:w="100"/>
            </w:tcMar>
          </w:tcPr>
          <w:p>
            <w:pPr>
              <w:spacing w:after="0" w:line="240"/>
            </w:pPr>
            <w:r>
              <w:rPr>
                <w:b/>
                <w:bCs/>
                <w:sz w:val="17"/>
                <w:szCs w:val="17"/>
              </w:rPr>
              <w:t xml:space="preserve">National launch - deposit live</w:t>
            </w:r>
          </w:p>
        </w:tc>
        <w:tc>
          <w:tcPr>
            <w:tcW w:type="dxa" w:w="1747"/>
            <w:shd w:fill="FFFFFF" w:val="clear"/>
            <w:tcMar>
              <w:top w:type="dxa" w:w="80"/>
              <w:left w:type="dxa" w:w="100"/>
              <w:bottom w:type="dxa" w:w="80"/>
              <w:right w:type="dxa" w:w="100"/>
            </w:tcMar>
          </w:tcPr>
          <w:p>
            <w:pPr>
              <w:spacing w:after="0" w:line="240"/>
            </w:pPr>
            <w:r>
              <w:rPr>
                <w:b/>
                <w:bCs/>
                <w:sz w:val="17"/>
                <w:szCs w:val="17"/>
              </w:rPr>
              <w:t xml:space="preserve">H2 2028</w:t>
            </w:r>
          </w:p>
        </w:tc>
        <w:tc>
          <w:tcPr>
            <w:tcW w:type="dxa" w:w="1747"/>
            <w:shd w:fill="FFFFFF" w:val="clear"/>
            <w:tcMar>
              <w:top w:type="dxa" w:w="80"/>
              <w:left w:type="dxa" w:w="100"/>
              <w:bottom w:type="dxa" w:w="80"/>
              <w:right w:type="dxa" w:w="100"/>
            </w:tcMar>
          </w:tcPr>
          <w:p>
            <w:pPr>
              <w:spacing w:after="0" w:line="240"/>
            </w:pPr>
            <w:r>
              <w:rPr>
                <w:sz w:val="17"/>
                <w:szCs w:val="17"/>
              </w:rPr>
              <w:t xml:space="preserve">DSO / MOCCAE</w:t>
            </w:r>
          </w:p>
        </w:tc>
        <w:tc>
          <w:tcPr>
            <w:tcW w:type="dxa" w:w="1750"/>
            <w:shd w:fill="FFFFFF" w:val="clear"/>
            <w:tcMar>
              <w:top w:type="dxa" w:w="80"/>
              <w:left w:type="dxa" w:w="100"/>
              <w:bottom w:type="dxa" w:w="80"/>
              <w:right w:type="dxa" w:w="100"/>
            </w:tcMar>
          </w:tcPr>
          <w:p>
            <w:pPr>
              <w:spacing w:after="0" w:line="240"/>
            </w:pPr>
            <w:r>
              <w:rPr>
                <w:sz w:val="17"/>
                <w:szCs w:val="17"/>
              </w:rPr>
              <w:t xml:space="preserve">M6-M8; ≥80% of planned return network live</w:t>
            </w:r>
          </w:p>
        </w:tc>
      </w:tr>
      <w:tr>
        <w:tc>
          <w:tcPr>
            <w:tcW w:type="dxa" w:w="1747"/>
            <w:shd w:fill="F5F1E8" w:val="clear"/>
            <w:tcMar>
              <w:top w:type="dxa" w:w="80"/>
              <w:left w:type="dxa" w:w="100"/>
              <w:bottom w:type="dxa" w:w="80"/>
              <w:right w:type="dxa" w:w="100"/>
            </w:tcMar>
          </w:tcPr>
          <w:p>
            <w:pPr>
              <w:spacing w:after="0" w:line="240"/>
            </w:pPr>
            <w:r>
              <w:rPr>
                <w:sz w:val="17"/>
                <w:szCs w:val="17"/>
              </w:rPr>
              <w:t xml:space="preserve">M10</w:t>
            </w:r>
          </w:p>
        </w:tc>
        <w:tc>
          <w:tcPr>
            <w:tcW w:type="dxa" w:w="1747"/>
            <w:shd w:fill="F5F1E8" w:val="clear"/>
            <w:tcMar>
              <w:top w:type="dxa" w:w="80"/>
              <w:left w:type="dxa" w:w="100"/>
              <w:bottom w:type="dxa" w:w="80"/>
              <w:right w:type="dxa" w:w="100"/>
            </w:tcMar>
          </w:tcPr>
          <w:p>
            <w:pPr>
              <w:spacing w:after="0" w:line="240"/>
            </w:pPr>
            <w:r>
              <w:rPr>
                <w:sz w:val="17"/>
                <w:szCs w:val="17"/>
              </w:rPr>
              <w:t xml:space="preserve">Year-2 statutory review (deposit &amp; fees)</w:t>
            </w:r>
          </w:p>
        </w:tc>
        <w:tc>
          <w:tcPr>
            <w:tcW w:type="dxa" w:w="1747"/>
            <w:shd w:fill="F5F1E8" w:val="clear"/>
            <w:tcMar>
              <w:top w:type="dxa" w:w="80"/>
              <w:left w:type="dxa" w:w="100"/>
              <w:bottom w:type="dxa" w:w="80"/>
              <w:right w:type="dxa" w:w="100"/>
            </w:tcMar>
          </w:tcPr>
          <w:p>
            <w:pPr>
              <w:spacing w:after="0" w:line="240"/>
            </w:pPr>
            <w:r>
              <w:rPr>
                <w:sz w:val="17"/>
                <w:szCs w:val="17"/>
              </w:rPr>
              <w:t xml:space="preserve">2030</w:t>
            </w:r>
          </w:p>
        </w:tc>
        <w:tc>
          <w:tcPr>
            <w:tcW w:type="dxa" w:w="1747"/>
            <w:shd w:fill="F5F1E8" w:val="clear"/>
            <w:tcMar>
              <w:top w:type="dxa" w:w="80"/>
              <w:left w:type="dxa" w:w="100"/>
              <w:bottom w:type="dxa" w:w="80"/>
              <w:right w:type="dxa" w:w="100"/>
            </w:tcMar>
          </w:tcPr>
          <w:p>
            <w:pPr>
              <w:spacing w:after="0" w:line="240"/>
            </w:pPr>
            <w:r>
              <w:rPr>
                <w:sz w:val="17"/>
                <w:szCs w:val="17"/>
              </w:rPr>
              <w:t xml:space="preserve">Circular Economy Council</w:t>
            </w:r>
          </w:p>
        </w:tc>
        <w:tc>
          <w:tcPr>
            <w:tcW w:type="dxa" w:w="1750"/>
            <w:shd w:fill="F5F1E8" w:val="clear"/>
            <w:tcMar>
              <w:top w:type="dxa" w:w="80"/>
              <w:left w:type="dxa" w:w="100"/>
              <w:bottom w:type="dxa" w:w="80"/>
              <w:right w:type="dxa" w:w="100"/>
            </w:tcMar>
          </w:tcPr>
          <w:p>
            <w:pPr>
              <w:spacing w:after="0" w:line="240"/>
            </w:pPr>
            <w:r>
              <w:rPr>
                <w:sz w:val="17"/>
                <w:szCs w:val="17"/>
              </w:rPr>
              <w:t xml:space="preserve">2 years of audited operating data</w:t>
            </w:r>
          </w:p>
        </w:tc>
      </w:tr>
      <w:tr>
        <w:tc>
          <w:tcPr>
            <w:tcW w:type="dxa" w:w="1747"/>
            <w:shd w:fill="FFFFFF" w:val="clear"/>
            <w:tcMar>
              <w:top w:type="dxa" w:w="80"/>
              <w:left w:type="dxa" w:w="100"/>
              <w:bottom w:type="dxa" w:w="80"/>
              <w:right w:type="dxa" w:w="100"/>
            </w:tcMar>
          </w:tcPr>
          <w:p>
            <w:pPr>
              <w:spacing w:after="0" w:line="240"/>
            </w:pPr>
            <w:r>
              <w:rPr>
                <w:sz w:val="17"/>
                <w:szCs w:val="17"/>
              </w:rPr>
              <w:t xml:space="preserve">M11</w:t>
            </w:r>
          </w:p>
        </w:tc>
        <w:tc>
          <w:tcPr>
            <w:tcW w:type="dxa" w:w="1747"/>
            <w:shd w:fill="FFFFFF" w:val="clear"/>
            <w:tcMar>
              <w:top w:type="dxa" w:w="80"/>
              <w:left w:type="dxa" w:w="100"/>
              <w:bottom w:type="dxa" w:w="80"/>
              <w:right w:type="dxa" w:w="100"/>
            </w:tcMar>
          </w:tcPr>
          <w:p>
            <w:pPr>
              <w:spacing w:after="0" w:line="240"/>
            </w:pPr>
            <w:r>
              <w:rPr>
                <w:sz w:val="17"/>
                <w:szCs w:val="17"/>
              </w:rPr>
              <w:t xml:space="preserve">Steady state: ≥83% return rate; system payback</w:t>
            </w:r>
          </w:p>
        </w:tc>
        <w:tc>
          <w:tcPr>
            <w:tcW w:type="dxa" w:w="1747"/>
            <w:shd w:fill="FFFFFF" w:val="clear"/>
            <w:tcMar>
              <w:top w:type="dxa" w:w="80"/>
              <w:left w:type="dxa" w:w="100"/>
              <w:bottom w:type="dxa" w:w="80"/>
              <w:right w:type="dxa" w:w="100"/>
            </w:tcMar>
          </w:tcPr>
          <w:p>
            <w:pPr>
              <w:spacing w:after="0" w:line="240"/>
            </w:pPr>
            <w:r>
              <w:rPr>
                <w:sz w:val="17"/>
                <w:szCs w:val="17"/>
              </w:rPr>
              <w:t xml:space="preserve">2030-2031</w:t>
            </w:r>
          </w:p>
        </w:tc>
        <w:tc>
          <w:tcPr>
            <w:tcW w:type="dxa" w:w="1747"/>
            <w:shd w:fill="FFFFFF" w:val="clear"/>
            <w:tcMar>
              <w:top w:type="dxa" w:w="80"/>
              <w:left w:type="dxa" w:w="100"/>
              <w:bottom w:type="dxa" w:w="80"/>
              <w:right w:type="dxa" w:w="100"/>
            </w:tcMar>
          </w:tcPr>
          <w:p>
            <w:pPr>
              <w:spacing w:after="0" w:line="240"/>
            </w:pPr>
            <w:r>
              <w:rPr>
                <w:sz w:val="17"/>
                <w:szCs w:val="17"/>
              </w:rPr>
              <w:t xml:space="preserve">DSO</w:t>
            </w:r>
          </w:p>
        </w:tc>
        <w:tc>
          <w:tcPr>
            <w:tcW w:type="dxa" w:w="1750"/>
            <w:shd w:fill="FFFFFF" w:val="clear"/>
            <w:tcMar>
              <w:top w:type="dxa" w:w="80"/>
              <w:left w:type="dxa" w:w="100"/>
              <w:bottom w:type="dxa" w:w="80"/>
              <w:right w:type="dxa" w:w="100"/>
            </w:tcMar>
          </w:tcPr>
          <w:p>
            <w:pPr>
              <w:spacing w:after="0" w:line="240"/>
            </w:pPr>
            <w:r>
              <w:rPr>
                <w:sz w:val="17"/>
                <w:szCs w:val="17"/>
              </w:rPr>
              <w:t xml:space="preserve">M9, M10</w:t>
            </w:r>
          </w:p>
        </w:tc>
      </w:tr>
    </w:tbl>
    <w:p>
      <w:pPr>
        <w:spacing w:after="200"/>
      </w:pPr>
      <w:r>
        <w:rPr>
          <w:sz w:val="8"/>
          <w:szCs w:val="8"/>
        </w:rPr>
        <w:t xml:space="preserve"/>
      </w:r>
    </w:p>
    <w:p>
      <w:pPr>
        <w:pageBreakBefore/>
        <w:spacing w:after="80" w:before="0"/>
      </w:pPr>
      <w:r>
        <w:rPr>
          <w:rFonts w:ascii="Georgia" w:cs="Georgia" w:eastAsia="Georgia" w:hAnsi="Georgia"/>
          <w:b/>
          <w:bCs/>
          <w:color w:val="C9A227"/>
          <w:spacing w:val="40"/>
          <w:sz w:val="20"/>
          <w:szCs w:val="20"/>
        </w:rPr>
        <w:t xml:space="preserve">CHAPTER 9</w:t>
      </w:r>
    </w:p>
    <w:p>
      <w:pPr>
        <w:pStyle w:val="Heading1"/>
        <w:pBdr>
          <w:bottom w:val="single" w:color="C9A227" w:sz="10" w:space="4"/>
        </w:pBdr>
        <w:spacing w:after="280"/>
      </w:pPr>
      <w:r>
        <w:rPr>
          <w:rFonts w:ascii="Georgia" w:cs="Georgia" w:eastAsia="Georgia" w:hAnsi="Georgia"/>
          <w:b/>
          <w:bCs/>
          <w:color w:val="1B2A4A"/>
          <w:sz w:val="44"/>
          <w:szCs w:val="44"/>
        </w:rPr>
        <w:t xml:space="preserve">Risk Register, KPI Framework &amp; Stakeholder Engagement Plan</w:t>
      </w:r>
    </w:p>
    <w:p>
      <w:pPr>
        <w:pStyle w:val="Heading2"/>
        <w:keepNext/>
        <w:spacing w:after="140" w:before="340"/>
      </w:pPr>
      <w:r>
        <w:rPr>
          <w:rFonts w:ascii="Georgia" w:cs="Georgia" w:eastAsia="Georgia" w:hAnsi="Georgia"/>
          <w:b/>
          <w:bCs/>
          <w:color w:val="1B2A4A"/>
          <w:sz w:val="30"/>
          <w:szCs w:val="30"/>
        </w:rPr>
        <w:t xml:space="preserve">9.1 Risk register &amp; mitigation</w:t>
      </w:r>
    </w:p>
    <w:p>
      <w:pPr>
        <w:spacing w:after="160" w:line="300"/>
        <w:jc w:val="both"/>
      </w:pPr>
      <w:r>
        <w:t xml:space="preserve">Fourteen principal risks, scored for likelihood (L) and impact (I) on a 1-5 scale, with mitigations and owners. Benchmark-derived risks are cited to the system that experienced them.</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1456"/>
        <w:gridCol w:w="1456"/>
        <w:gridCol w:w="1456"/>
        <w:gridCol w:w="1456"/>
        <w:gridCol w:w="1456"/>
        <w:gridCol w:w="1458"/>
      </w:tblGrid>
      <w:tr>
        <w:trPr>
          <w:tblHeader/>
        </w:trPr>
        <w:tc>
          <w:tcPr>
            <w:tcW w:type="dxa" w:w="1456"/>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w:t>
            </w:r>
          </w:p>
        </w:tc>
        <w:tc>
          <w:tcPr>
            <w:tcW w:type="dxa" w:w="1456"/>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Risk</w:t>
            </w:r>
          </w:p>
        </w:tc>
        <w:tc>
          <w:tcPr>
            <w:tcW w:type="dxa" w:w="1456"/>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L</w:t>
            </w:r>
          </w:p>
        </w:tc>
        <w:tc>
          <w:tcPr>
            <w:tcW w:type="dxa" w:w="1456"/>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I</w:t>
            </w:r>
          </w:p>
        </w:tc>
        <w:tc>
          <w:tcPr>
            <w:tcW w:type="dxa" w:w="1456"/>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Mitigation</w:t>
            </w:r>
          </w:p>
        </w:tc>
        <w:tc>
          <w:tcPr>
            <w:tcW w:type="dxa" w:w="1458"/>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Owner</w:t>
            </w:r>
          </w:p>
        </w:tc>
      </w:tr>
      <w:tr>
        <w:tc>
          <w:tcPr>
            <w:tcW w:type="dxa" w:w="1456"/>
            <w:shd w:fill="FFFFFF" w:val="clear"/>
            <w:tcMar>
              <w:top w:type="dxa" w:w="80"/>
              <w:left w:type="dxa" w:w="100"/>
              <w:bottom w:type="dxa" w:w="80"/>
              <w:right w:type="dxa" w:w="100"/>
            </w:tcMar>
          </w:tcPr>
          <w:p>
            <w:pPr>
              <w:spacing w:after="0" w:line="240"/>
            </w:pPr>
            <w:r>
              <w:rPr>
                <w:sz w:val="17"/>
                <w:szCs w:val="17"/>
              </w:rPr>
              <w:t xml:space="preserve">R1</w:t>
            </w:r>
          </w:p>
        </w:tc>
        <w:tc>
          <w:tcPr>
            <w:tcW w:type="dxa" w:w="1456"/>
            <w:shd w:fill="FFFFFF" w:val="clear"/>
            <w:tcMar>
              <w:top w:type="dxa" w:w="80"/>
              <w:left w:type="dxa" w:w="100"/>
              <w:bottom w:type="dxa" w:w="80"/>
              <w:right w:type="dxa" w:w="100"/>
            </w:tcMar>
          </w:tcPr>
          <w:p>
            <w:pPr>
              <w:spacing w:after="0" w:line="240"/>
            </w:pPr>
            <w:r>
              <w:rPr>
                <w:b/>
                <w:bCs/>
                <w:sz w:val="17"/>
                <w:szCs w:val="17"/>
              </w:rPr>
              <w:t xml:space="preserve">Legislative delay</w:t>
            </w:r>
            <w:r>
              <w:rPr>
                <w:sz w:val="17"/>
                <w:szCs w:val="17"/>
              </w:rPr>
              <w:t xml:space="preserve"> - Cabinet Resolution slips, compressing build-out (Türkiye slipped ~5 years; Poland delayed Jan→Oct 2025)</w:t>
            </w:r>
          </w:p>
        </w:tc>
        <w:tc>
          <w:tcPr>
            <w:tcW w:type="dxa" w:w="1456"/>
            <w:shd w:fill="FFFFFF" w:val="clear"/>
            <w:tcMar>
              <w:top w:type="dxa" w:w="80"/>
              <w:left w:type="dxa" w:w="100"/>
              <w:bottom w:type="dxa" w:w="80"/>
              <w:right w:type="dxa" w:w="100"/>
            </w:tcMar>
          </w:tcPr>
          <w:p>
            <w:pPr>
              <w:spacing w:after="0" w:line="240"/>
            </w:pPr>
            <w:r>
              <w:rPr>
                <w:sz w:val="17"/>
                <w:szCs w:val="17"/>
              </w:rPr>
              <w:t xml:space="preserve">3</w:t>
            </w:r>
          </w:p>
        </w:tc>
        <w:tc>
          <w:tcPr>
            <w:tcW w:type="dxa" w:w="1456"/>
            <w:shd w:fill="FFFFFF" w:val="clear"/>
            <w:tcMar>
              <w:top w:type="dxa" w:w="80"/>
              <w:left w:type="dxa" w:w="100"/>
              <w:bottom w:type="dxa" w:w="80"/>
              <w:right w:type="dxa" w:w="100"/>
            </w:tcMar>
          </w:tcPr>
          <w:p>
            <w:pPr>
              <w:spacing w:after="0" w:line="240"/>
            </w:pPr>
            <w:r>
              <w:rPr>
                <w:sz w:val="17"/>
                <w:szCs w:val="17"/>
              </w:rPr>
              <w:t xml:space="preserve">5</w:t>
            </w:r>
          </w:p>
        </w:tc>
        <w:tc>
          <w:tcPr>
            <w:tcW w:type="dxa" w:w="1456"/>
            <w:shd w:fill="FFFFFF" w:val="clear"/>
            <w:tcMar>
              <w:top w:type="dxa" w:w="80"/>
              <w:left w:type="dxa" w:w="100"/>
              <w:bottom w:type="dxa" w:w="80"/>
              <w:right w:type="dxa" w:w="100"/>
            </w:tcMar>
          </w:tcPr>
          <w:p>
            <w:pPr>
              <w:spacing w:after="0" w:line="240"/>
            </w:pPr>
            <w:r>
              <w:rPr>
                <w:sz w:val="17"/>
                <w:szCs w:val="17"/>
              </w:rPr>
              <w:t xml:space="preserve">18-24-month planning buffer already embedded; hybrid instrument path (§7.2); early drafting instructions in Phase 0; political sponsorship by two ministries</w:t>
            </w:r>
          </w:p>
        </w:tc>
        <w:tc>
          <w:tcPr>
            <w:tcW w:type="dxa" w:w="1458"/>
            <w:shd w:fill="FFFFFF" w:val="clear"/>
            <w:tcMar>
              <w:top w:type="dxa" w:w="80"/>
              <w:left w:type="dxa" w:w="100"/>
              <w:bottom w:type="dxa" w:w="80"/>
              <w:right w:type="dxa" w:w="100"/>
            </w:tcMar>
          </w:tcPr>
          <w:p>
            <w:pPr>
              <w:spacing w:after="0" w:line="240"/>
            </w:pPr>
            <w:r>
              <w:rPr>
                <w:sz w:val="17"/>
                <w:szCs w:val="17"/>
              </w:rPr>
              <w:t xml:space="preserve">MOCCAE / MOET</w:t>
            </w:r>
          </w:p>
        </w:tc>
      </w:tr>
      <w:tr>
        <w:tc>
          <w:tcPr>
            <w:tcW w:type="dxa" w:w="1456"/>
            <w:shd w:fill="F5F1E8" w:val="clear"/>
            <w:tcMar>
              <w:top w:type="dxa" w:w="80"/>
              <w:left w:type="dxa" w:w="100"/>
              <w:bottom w:type="dxa" w:w="80"/>
              <w:right w:type="dxa" w:w="100"/>
            </w:tcMar>
          </w:tcPr>
          <w:p>
            <w:pPr>
              <w:spacing w:after="0" w:line="240"/>
            </w:pPr>
            <w:r>
              <w:rPr>
                <w:sz w:val="17"/>
                <w:szCs w:val="17"/>
              </w:rPr>
              <w:t xml:space="preserve">R2</w:t>
            </w:r>
          </w:p>
        </w:tc>
        <w:tc>
          <w:tcPr>
            <w:tcW w:type="dxa" w:w="1456"/>
            <w:shd w:fill="F5F1E8" w:val="clear"/>
            <w:tcMar>
              <w:top w:type="dxa" w:w="80"/>
              <w:left w:type="dxa" w:w="100"/>
              <w:bottom w:type="dxa" w:w="80"/>
              <w:right w:type="dxa" w:w="100"/>
            </w:tcMar>
          </w:tcPr>
          <w:p>
            <w:pPr>
              <w:spacing w:after="0" w:line="240"/>
            </w:pPr>
            <w:r>
              <w:rPr>
                <w:b/>
                <w:bCs/>
                <w:sz w:val="17"/>
                <w:szCs w:val="17"/>
              </w:rPr>
              <w:t xml:space="preserve">Cross-emirate legal misalignment</w:t>
            </w:r>
            <w:r>
              <w:rPr>
                <w:sz w:val="17"/>
                <w:szCs w:val="17"/>
              </w:rPr>
              <w:t xml:space="preserve"> - emirate rules conflict with federal scheme post-contract (Scotland: operator folded, £86.2m liabilities; Biffa suing for £166m)</w:t>
            </w:r>
          </w:p>
        </w:tc>
        <w:tc>
          <w:tcPr>
            <w:tcW w:type="dxa" w:w="1456"/>
            <w:shd w:fill="F5F1E8" w:val="clear"/>
            <w:tcMar>
              <w:top w:type="dxa" w:w="80"/>
              <w:left w:type="dxa" w:w="100"/>
              <w:bottom w:type="dxa" w:w="80"/>
              <w:right w:type="dxa" w:w="100"/>
            </w:tcMar>
          </w:tcPr>
          <w:p>
            <w:pPr>
              <w:spacing w:after="0" w:line="240"/>
            </w:pPr>
            <w:r>
              <w:rPr>
                <w:sz w:val="17"/>
                <w:szCs w:val="17"/>
              </w:rPr>
              <w:t xml:space="preserve">2</w:t>
            </w:r>
          </w:p>
        </w:tc>
        <w:tc>
          <w:tcPr>
            <w:tcW w:type="dxa" w:w="1456"/>
            <w:shd w:fill="F5F1E8" w:val="clear"/>
            <w:tcMar>
              <w:top w:type="dxa" w:w="80"/>
              <w:left w:type="dxa" w:w="100"/>
              <w:bottom w:type="dxa" w:w="80"/>
              <w:right w:type="dxa" w:w="100"/>
            </w:tcMar>
          </w:tcPr>
          <w:p>
            <w:pPr>
              <w:spacing w:after="0" w:line="240"/>
            </w:pPr>
            <w:r>
              <w:rPr>
                <w:sz w:val="17"/>
                <w:szCs w:val="17"/>
              </w:rPr>
              <w:t xml:space="preserve">5</w:t>
            </w:r>
          </w:p>
        </w:tc>
        <w:tc>
          <w:tcPr>
            <w:tcW w:type="dxa" w:w="1456"/>
            <w:shd w:fill="F5F1E8" w:val="clear"/>
            <w:tcMar>
              <w:top w:type="dxa" w:w="80"/>
              <w:left w:type="dxa" w:w="100"/>
              <w:bottom w:type="dxa" w:w="80"/>
              <w:right w:type="dxa" w:w="100"/>
            </w:tcMar>
          </w:tcPr>
          <w:p>
            <w:pPr>
              <w:spacing w:after="0" w:line="240"/>
            </w:pPr>
            <w:r>
              <w:rPr>
                <w:sz w:val="17"/>
                <w:szCs w:val="17"/>
              </w:rPr>
              <w:t xml:space="preserve">Emirate implementation agreements signed </w:t>
            </w:r>
            <w:r>
              <w:rPr>
                <w:b/>
                <w:bCs/>
                <w:sz w:val="17"/>
                <w:szCs w:val="17"/>
              </w:rPr>
              <w:t xml:space="preserve">before</w:t>
            </w:r>
            <w:r>
              <w:rPr>
                <w:sz w:val="17"/>
                <w:szCs w:val="17"/>
              </w:rPr>
              <w:t xml:space="preserve"> DSO licence and any irrevocable capex (Gate, Phase 1); federal primacy clause in the Resolution</w:t>
            </w:r>
          </w:p>
        </w:tc>
        <w:tc>
          <w:tcPr>
            <w:tcW w:type="dxa" w:w="1458"/>
            <w:shd w:fill="F5F1E8" w:val="clear"/>
            <w:tcMar>
              <w:top w:type="dxa" w:w="80"/>
              <w:left w:type="dxa" w:w="100"/>
              <w:bottom w:type="dxa" w:w="80"/>
              <w:right w:type="dxa" w:w="100"/>
            </w:tcMar>
          </w:tcPr>
          <w:p>
            <w:pPr>
              <w:spacing w:after="0" w:line="240"/>
            </w:pPr>
            <w:r>
              <w:rPr>
                <w:sz w:val="17"/>
                <w:szCs w:val="17"/>
              </w:rPr>
              <w:t xml:space="preserve">MOCCAE</w:t>
            </w:r>
          </w:p>
        </w:tc>
      </w:tr>
      <w:tr>
        <w:tc>
          <w:tcPr>
            <w:tcW w:type="dxa" w:w="1456"/>
            <w:shd w:fill="FFFFFF" w:val="clear"/>
            <w:tcMar>
              <w:top w:type="dxa" w:w="80"/>
              <w:left w:type="dxa" w:w="100"/>
              <w:bottom w:type="dxa" w:w="80"/>
              <w:right w:type="dxa" w:w="100"/>
            </w:tcMar>
          </w:tcPr>
          <w:p>
            <w:pPr>
              <w:spacing w:after="0" w:line="240"/>
            </w:pPr>
            <w:r>
              <w:rPr>
                <w:sz w:val="17"/>
                <w:szCs w:val="17"/>
              </w:rPr>
              <w:t xml:space="preserve">R3</w:t>
            </w:r>
          </w:p>
        </w:tc>
        <w:tc>
          <w:tcPr>
            <w:tcW w:type="dxa" w:w="1456"/>
            <w:shd w:fill="FFFFFF" w:val="clear"/>
            <w:tcMar>
              <w:top w:type="dxa" w:w="80"/>
              <w:left w:type="dxa" w:w="100"/>
              <w:bottom w:type="dxa" w:w="80"/>
              <w:right w:type="dxa" w:w="100"/>
            </w:tcMar>
          </w:tcPr>
          <w:p>
            <w:pPr>
              <w:spacing w:after="0" w:line="240"/>
            </w:pPr>
            <w:r>
              <w:rPr>
                <w:b/>
                <w:bCs/>
                <w:sz w:val="17"/>
                <w:szCs w:val="17"/>
              </w:rPr>
              <w:t xml:space="preserve">DSO under-capitalisation / delay insolvency</w:t>
            </w:r>
            <w:r>
              <w:rPr>
                <w:sz w:val="17"/>
                <w:szCs w:val="17"/>
              </w:rPr>
              <w:t xml:space="preserve"> (Circularity Scotland precedent)</w:t>
            </w:r>
          </w:p>
        </w:tc>
        <w:tc>
          <w:tcPr>
            <w:tcW w:type="dxa" w:w="1456"/>
            <w:shd w:fill="FFFFFF" w:val="clear"/>
            <w:tcMar>
              <w:top w:type="dxa" w:w="80"/>
              <w:left w:type="dxa" w:w="100"/>
              <w:bottom w:type="dxa" w:w="80"/>
              <w:right w:type="dxa" w:w="100"/>
            </w:tcMar>
          </w:tcPr>
          <w:p>
            <w:pPr>
              <w:spacing w:after="0" w:line="240"/>
            </w:pPr>
            <w:r>
              <w:rPr>
                <w:sz w:val="17"/>
                <w:szCs w:val="17"/>
              </w:rPr>
              <w:t xml:space="preserve">2</w:t>
            </w:r>
          </w:p>
        </w:tc>
        <w:tc>
          <w:tcPr>
            <w:tcW w:type="dxa" w:w="1456"/>
            <w:shd w:fill="FFFFFF" w:val="clear"/>
            <w:tcMar>
              <w:top w:type="dxa" w:w="80"/>
              <w:left w:type="dxa" w:w="100"/>
              <w:bottom w:type="dxa" w:w="80"/>
              <w:right w:type="dxa" w:w="100"/>
            </w:tcMar>
          </w:tcPr>
          <w:p>
            <w:pPr>
              <w:spacing w:after="0" w:line="240"/>
            </w:pPr>
            <w:r>
              <w:rPr>
                <w:sz w:val="17"/>
                <w:szCs w:val="17"/>
              </w:rPr>
              <w:t xml:space="preserve">5</w:t>
            </w:r>
          </w:p>
        </w:tc>
        <w:tc>
          <w:tcPr>
            <w:tcW w:type="dxa" w:w="1456"/>
            <w:shd w:fill="FFFFFF" w:val="clear"/>
            <w:tcMar>
              <w:top w:type="dxa" w:w="80"/>
              <w:left w:type="dxa" w:w="100"/>
              <w:bottom w:type="dxa" w:w="80"/>
              <w:right w:type="dxa" w:w="100"/>
            </w:tcMar>
          </w:tcPr>
          <w:p>
            <w:pPr>
              <w:spacing w:after="0" w:line="240"/>
            </w:pPr>
            <w:r>
              <w:rPr>
                <w:sz w:val="17"/>
                <w:szCs w:val="17"/>
              </w:rPr>
              <w:t xml:space="preserve">Statutory capitalisation requirement (Art. 13); peak funding AED 294m pre-arranged; 60/40 debt/equity with green-loan structuring (Romania €85-90m precedent, R7)</w:t>
            </w:r>
          </w:p>
        </w:tc>
        <w:tc>
          <w:tcPr>
            <w:tcW w:type="dxa" w:w="1458"/>
            <w:shd w:fill="FFFFFF" w:val="clear"/>
            <w:tcMar>
              <w:top w:type="dxa" w:w="80"/>
              <w:left w:type="dxa" w:w="100"/>
              <w:bottom w:type="dxa" w:w="80"/>
              <w:right w:type="dxa" w:w="100"/>
            </w:tcMar>
          </w:tcPr>
          <w:p>
            <w:pPr>
              <w:spacing w:after="0" w:line="240"/>
            </w:pPr>
            <w:r>
              <w:rPr>
                <w:sz w:val="17"/>
                <w:szCs w:val="17"/>
              </w:rPr>
              <w:t xml:space="preserve">DSO shareholders</w:t>
            </w:r>
          </w:p>
        </w:tc>
      </w:tr>
      <w:tr>
        <w:tc>
          <w:tcPr>
            <w:tcW w:type="dxa" w:w="1456"/>
            <w:shd w:fill="F5F1E8" w:val="clear"/>
            <w:tcMar>
              <w:top w:type="dxa" w:w="80"/>
              <w:left w:type="dxa" w:w="100"/>
              <w:bottom w:type="dxa" w:w="80"/>
              <w:right w:type="dxa" w:w="100"/>
            </w:tcMar>
          </w:tcPr>
          <w:p>
            <w:pPr>
              <w:spacing w:after="0" w:line="240"/>
            </w:pPr>
            <w:r>
              <w:rPr>
                <w:sz w:val="17"/>
                <w:szCs w:val="17"/>
              </w:rPr>
              <w:t xml:space="preserve">R4</w:t>
            </w:r>
          </w:p>
        </w:tc>
        <w:tc>
          <w:tcPr>
            <w:tcW w:type="dxa" w:w="1456"/>
            <w:shd w:fill="F5F1E8" w:val="clear"/>
            <w:tcMar>
              <w:top w:type="dxa" w:w="80"/>
              <w:left w:type="dxa" w:w="100"/>
              <w:bottom w:type="dxa" w:w="80"/>
              <w:right w:type="dxa" w:w="100"/>
            </w:tcMar>
          </w:tcPr>
          <w:p>
            <w:pPr>
              <w:spacing w:after="0" w:line="240"/>
            </w:pPr>
            <w:r>
              <w:rPr>
                <w:b/>
                <w:bCs/>
                <w:sz w:val="17"/>
                <w:szCs w:val="17"/>
              </w:rPr>
              <w:t xml:space="preserve">POM volumes mis-estimated</w:t>
            </w:r>
            <w:r>
              <w:rPr>
                <w:sz w:val="17"/>
                <w:szCs w:val="17"/>
              </w:rPr>
              <w:t xml:space="preserve"> - PET base 2.90bn is survey-modelled (range 2.1-3.8bn)</w:t>
            </w:r>
          </w:p>
        </w:tc>
        <w:tc>
          <w:tcPr>
            <w:tcW w:type="dxa" w:w="1456"/>
            <w:shd w:fill="F5F1E8" w:val="clear"/>
            <w:tcMar>
              <w:top w:type="dxa" w:w="80"/>
              <w:left w:type="dxa" w:w="100"/>
              <w:bottom w:type="dxa" w:w="80"/>
              <w:right w:type="dxa" w:w="100"/>
            </w:tcMar>
          </w:tcPr>
          <w:p>
            <w:pPr>
              <w:spacing w:after="0" w:line="240"/>
            </w:pPr>
            <w:r>
              <w:rPr>
                <w:sz w:val="17"/>
                <w:szCs w:val="17"/>
              </w:rPr>
              <w:t xml:space="preserve">3</w:t>
            </w:r>
          </w:p>
        </w:tc>
        <w:tc>
          <w:tcPr>
            <w:tcW w:type="dxa" w:w="1456"/>
            <w:shd w:fill="F5F1E8" w:val="clear"/>
            <w:tcMar>
              <w:top w:type="dxa" w:w="80"/>
              <w:left w:type="dxa" w:w="100"/>
              <w:bottom w:type="dxa" w:w="80"/>
              <w:right w:type="dxa" w:w="100"/>
            </w:tcMar>
          </w:tcPr>
          <w:p>
            <w:pPr>
              <w:spacing w:after="0" w:line="240"/>
            </w:pPr>
            <w:r>
              <w:rPr>
                <w:sz w:val="17"/>
                <w:szCs w:val="17"/>
              </w:rPr>
              <w:t xml:space="preserve">4</w:t>
            </w:r>
          </w:p>
        </w:tc>
        <w:tc>
          <w:tcPr>
            <w:tcW w:type="dxa" w:w="1456"/>
            <w:shd w:fill="F5F1E8" w:val="clear"/>
            <w:tcMar>
              <w:top w:type="dxa" w:w="80"/>
              <w:left w:type="dxa" w:w="100"/>
              <w:bottom w:type="dxa" w:w="80"/>
              <w:right w:type="dxa" w:w="100"/>
            </w:tcMar>
          </w:tcPr>
          <w:p>
            <w:pPr>
              <w:spacing w:after="0" w:line="240"/>
            </w:pPr>
            <w:r>
              <w:rPr>
                <w:sz w:val="17"/>
                <w:szCs w:val="17"/>
              </w:rPr>
              <w:t xml:space="preserve">Mandatory Phase 0 producer/importer SKU validation (M2); fees set on annual cost-recovery formula so economics hold across volume scenarios (R7 §3)</w:t>
            </w:r>
          </w:p>
        </w:tc>
        <w:tc>
          <w:tcPr>
            <w:tcW w:type="dxa" w:w="1458"/>
            <w:shd w:fill="F5F1E8" w:val="clear"/>
            <w:tcMar>
              <w:top w:type="dxa" w:w="80"/>
              <w:left w:type="dxa" w:w="100"/>
              <w:bottom w:type="dxa" w:w="80"/>
              <w:right w:type="dxa" w:w="100"/>
            </w:tcMar>
          </w:tcPr>
          <w:p>
            <w:pPr>
              <w:spacing w:after="0" w:line="240"/>
            </w:pPr>
            <w:r>
              <w:rPr>
                <w:sz w:val="17"/>
                <w:szCs w:val="17"/>
              </w:rPr>
              <w:t xml:space="preserve">Programme office</w:t>
            </w:r>
          </w:p>
        </w:tc>
      </w:tr>
      <w:tr>
        <w:tc>
          <w:tcPr>
            <w:tcW w:type="dxa" w:w="1456"/>
            <w:shd w:fill="FFFFFF" w:val="clear"/>
            <w:tcMar>
              <w:top w:type="dxa" w:w="80"/>
              <w:left w:type="dxa" w:w="100"/>
              <w:bottom w:type="dxa" w:w="80"/>
              <w:right w:type="dxa" w:w="100"/>
            </w:tcMar>
          </w:tcPr>
          <w:p>
            <w:pPr>
              <w:spacing w:after="0" w:line="240"/>
            </w:pPr>
            <w:r>
              <w:rPr>
                <w:sz w:val="17"/>
                <w:szCs w:val="17"/>
              </w:rPr>
              <w:t xml:space="preserve">R5</w:t>
            </w:r>
          </w:p>
        </w:tc>
        <w:tc>
          <w:tcPr>
            <w:tcW w:type="dxa" w:w="1456"/>
            <w:shd w:fill="FFFFFF" w:val="clear"/>
            <w:tcMar>
              <w:top w:type="dxa" w:w="80"/>
              <w:left w:type="dxa" w:w="100"/>
              <w:bottom w:type="dxa" w:w="80"/>
              <w:right w:type="dxa" w:w="100"/>
            </w:tcMar>
          </w:tcPr>
          <w:p>
            <w:pPr>
              <w:spacing w:after="0" w:line="240"/>
            </w:pPr>
            <w:r>
              <w:rPr>
                <w:b/>
                <w:bCs/>
                <w:sz w:val="17"/>
                <w:szCs w:val="17"/>
              </w:rPr>
              <w:t xml:space="preserve">Producer-fee resistance</w:t>
            </w:r>
            <w:r>
              <w:rPr>
                <w:sz w:val="17"/>
                <w:szCs w:val="17"/>
              </w:rPr>
              <w:t xml:space="preserve"> - fees at top of EU range (AED 0.20/0.08/0.24) trigger industry pushback</w:t>
            </w:r>
          </w:p>
        </w:tc>
        <w:tc>
          <w:tcPr>
            <w:tcW w:type="dxa" w:w="1456"/>
            <w:shd w:fill="FFFFFF" w:val="clear"/>
            <w:tcMar>
              <w:top w:type="dxa" w:w="80"/>
              <w:left w:type="dxa" w:w="100"/>
              <w:bottom w:type="dxa" w:w="80"/>
              <w:right w:type="dxa" w:w="100"/>
            </w:tcMar>
          </w:tcPr>
          <w:p>
            <w:pPr>
              <w:spacing w:after="0" w:line="240"/>
            </w:pPr>
            <w:r>
              <w:rPr>
                <w:sz w:val="17"/>
                <w:szCs w:val="17"/>
              </w:rPr>
              <w:t xml:space="preserve">3</w:t>
            </w:r>
          </w:p>
        </w:tc>
        <w:tc>
          <w:tcPr>
            <w:tcW w:type="dxa" w:w="1456"/>
            <w:shd w:fill="FFFFFF" w:val="clear"/>
            <w:tcMar>
              <w:top w:type="dxa" w:w="80"/>
              <w:left w:type="dxa" w:w="100"/>
              <w:bottom w:type="dxa" w:w="80"/>
              <w:right w:type="dxa" w:w="100"/>
            </w:tcMar>
          </w:tcPr>
          <w:p>
            <w:pPr>
              <w:spacing w:after="0" w:line="240"/>
            </w:pPr>
            <w:r>
              <w:rPr>
                <w:sz w:val="17"/>
                <w:szCs w:val="17"/>
              </w:rPr>
              <w:t xml:space="preserve">4</w:t>
            </w:r>
          </w:p>
        </w:tc>
        <w:tc>
          <w:tcPr>
            <w:tcW w:type="dxa" w:w="1456"/>
            <w:shd w:fill="FFFFFF" w:val="clear"/>
            <w:tcMar>
              <w:top w:type="dxa" w:w="80"/>
              <w:left w:type="dxa" w:w="100"/>
              <w:bottom w:type="dxa" w:w="80"/>
              <w:right w:type="dxa" w:w="100"/>
            </w:tcMar>
          </w:tcPr>
          <w:p>
            <w:pPr>
              <w:spacing w:after="0" w:line="240"/>
            </w:pPr>
            <w:r>
              <w:rPr>
                <w:sz w:val="17"/>
                <w:szCs w:val="17"/>
              </w:rPr>
              <w:t xml:space="preserve">Transparent fee methodology published with the Resolution; fees discharge EPR obligations (no double charge); fee-review clause with downside protection (±20% reset mechanic, R7)</w:t>
            </w:r>
          </w:p>
        </w:tc>
        <w:tc>
          <w:tcPr>
            <w:tcW w:type="dxa" w:w="1458"/>
            <w:shd w:fill="FFFFFF" w:val="clear"/>
            <w:tcMar>
              <w:top w:type="dxa" w:w="80"/>
              <w:left w:type="dxa" w:w="100"/>
              <w:bottom w:type="dxa" w:w="80"/>
              <w:right w:type="dxa" w:w="100"/>
            </w:tcMar>
          </w:tcPr>
          <w:p>
            <w:pPr>
              <w:spacing w:after="0" w:line="240"/>
            </w:pPr>
            <w:r>
              <w:rPr>
                <w:sz w:val="17"/>
                <w:szCs w:val="17"/>
              </w:rPr>
              <w:t xml:space="preserve">MOET</w:t>
            </w:r>
          </w:p>
        </w:tc>
      </w:tr>
      <w:tr>
        <w:tc>
          <w:tcPr>
            <w:tcW w:type="dxa" w:w="1456"/>
            <w:shd w:fill="F5F1E8" w:val="clear"/>
            <w:tcMar>
              <w:top w:type="dxa" w:w="80"/>
              <w:left w:type="dxa" w:w="100"/>
              <w:bottom w:type="dxa" w:w="80"/>
              <w:right w:type="dxa" w:w="100"/>
            </w:tcMar>
          </w:tcPr>
          <w:p>
            <w:pPr>
              <w:spacing w:after="0" w:line="240"/>
            </w:pPr>
            <w:r>
              <w:rPr>
                <w:sz w:val="17"/>
                <w:szCs w:val="17"/>
              </w:rPr>
              <w:t xml:space="preserve">R6</w:t>
            </w:r>
          </w:p>
        </w:tc>
        <w:tc>
          <w:tcPr>
            <w:tcW w:type="dxa" w:w="1456"/>
            <w:shd w:fill="F5F1E8" w:val="clear"/>
            <w:tcMar>
              <w:top w:type="dxa" w:w="80"/>
              <w:left w:type="dxa" w:w="100"/>
              <w:bottom w:type="dxa" w:w="80"/>
              <w:right w:type="dxa" w:w="100"/>
            </w:tcMar>
          </w:tcPr>
          <w:p>
            <w:pPr>
              <w:spacing w:after="0" w:line="240"/>
            </w:pPr>
            <w:r>
              <w:rPr>
                <w:b/>
                <w:bCs/>
                <w:sz w:val="17"/>
                <w:szCs w:val="17"/>
              </w:rPr>
              <w:t xml:space="preserve">Return-rate underperformance</w:t>
            </w:r>
            <w:r>
              <w:rPr>
                <w:sz w:val="17"/>
                <w:szCs w:val="17"/>
              </w:rPr>
              <w:t xml:space="preserve"> - consumer adoption slower than ramp (each ±5 pts moves project IRR by ~16 pts, R7 §3)</w:t>
            </w:r>
          </w:p>
        </w:tc>
        <w:tc>
          <w:tcPr>
            <w:tcW w:type="dxa" w:w="1456"/>
            <w:shd w:fill="F5F1E8" w:val="clear"/>
            <w:tcMar>
              <w:top w:type="dxa" w:w="80"/>
              <w:left w:type="dxa" w:w="100"/>
              <w:bottom w:type="dxa" w:w="80"/>
              <w:right w:type="dxa" w:w="100"/>
            </w:tcMar>
          </w:tcPr>
          <w:p>
            <w:pPr>
              <w:spacing w:after="0" w:line="240"/>
            </w:pPr>
            <w:r>
              <w:rPr>
                <w:sz w:val="17"/>
                <w:szCs w:val="17"/>
              </w:rPr>
              <w:t xml:space="preserve">3</w:t>
            </w:r>
          </w:p>
        </w:tc>
        <w:tc>
          <w:tcPr>
            <w:tcW w:type="dxa" w:w="1456"/>
            <w:shd w:fill="F5F1E8" w:val="clear"/>
            <w:tcMar>
              <w:top w:type="dxa" w:w="80"/>
              <w:left w:type="dxa" w:w="100"/>
              <w:bottom w:type="dxa" w:w="80"/>
              <w:right w:type="dxa" w:w="100"/>
            </w:tcMar>
          </w:tcPr>
          <w:p>
            <w:pPr>
              <w:spacing w:after="0" w:line="240"/>
            </w:pPr>
            <w:r>
              <w:rPr>
                <w:sz w:val="17"/>
                <w:szCs w:val="17"/>
              </w:rPr>
              <w:t xml:space="preserve">4</w:t>
            </w:r>
          </w:p>
        </w:tc>
        <w:tc>
          <w:tcPr>
            <w:tcW w:type="dxa" w:w="1456"/>
            <w:shd w:fill="F5F1E8" w:val="clear"/>
            <w:tcMar>
              <w:top w:type="dxa" w:w="80"/>
              <w:left w:type="dxa" w:w="100"/>
              <w:bottom w:type="dxa" w:w="80"/>
              <w:right w:type="dxa" w:w="100"/>
            </w:tcMar>
          </w:tcPr>
          <w:p>
            <w:pPr>
              <w:spacing w:after="0" w:line="240"/>
            </w:pPr>
            <w:r>
              <w:rPr>
                <w:sz w:val="17"/>
                <w:szCs w:val="17"/>
              </w:rPr>
              <w:t xml:space="preserve">AED 0.25 deposit sized for UAE income levels; dense network (~1,250 people/point); national campaign; soft-launch correction loop; note: higher redemption is margin-dilutive at fixed fees, so fee formula is the true stabiliser (R7)</w:t>
            </w:r>
          </w:p>
        </w:tc>
        <w:tc>
          <w:tcPr>
            <w:tcW w:type="dxa" w:w="1458"/>
            <w:shd w:fill="F5F1E8" w:val="clear"/>
            <w:tcMar>
              <w:top w:type="dxa" w:w="80"/>
              <w:left w:type="dxa" w:w="100"/>
              <w:bottom w:type="dxa" w:w="80"/>
              <w:right w:type="dxa" w:w="100"/>
            </w:tcMar>
          </w:tcPr>
          <w:p>
            <w:pPr>
              <w:spacing w:after="0" w:line="240"/>
            </w:pPr>
            <w:r>
              <w:rPr>
                <w:sz w:val="17"/>
                <w:szCs w:val="17"/>
              </w:rPr>
              <w:t xml:space="preserve">DSO</w:t>
            </w:r>
          </w:p>
        </w:tc>
      </w:tr>
      <w:tr>
        <w:tc>
          <w:tcPr>
            <w:tcW w:type="dxa" w:w="1456"/>
            <w:shd w:fill="FFFFFF" w:val="clear"/>
            <w:tcMar>
              <w:top w:type="dxa" w:w="80"/>
              <w:left w:type="dxa" w:w="100"/>
              <w:bottom w:type="dxa" w:w="80"/>
              <w:right w:type="dxa" w:w="100"/>
            </w:tcMar>
          </w:tcPr>
          <w:p>
            <w:pPr>
              <w:spacing w:after="0" w:line="240"/>
            </w:pPr>
            <w:r>
              <w:rPr>
                <w:sz w:val="17"/>
                <w:szCs w:val="17"/>
              </w:rPr>
              <w:t xml:space="preserve">R7</w:t>
            </w:r>
          </w:p>
        </w:tc>
        <w:tc>
          <w:tcPr>
            <w:tcW w:type="dxa" w:w="1456"/>
            <w:shd w:fill="FFFFFF" w:val="clear"/>
            <w:tcMar>
              <w:top w:type="dxa" w:w="80"/>
              <w:left w:type="dxa" w:w="100"/>
              <w:bottom w:type="dxa" w:w="80"/>
              <w:right w:type="dxa" w:w="100"/>
            </w:tcMar>
          </w:tcPr>
          <w:p>
            <w:pPr>
              <w:spacing w:after="0" w:line="240"/>
            </w:pPr>
            <w:r>
              <w:rPr>
                <w:b/>
                <w:bCs/>
                <w:sz w:val="17"/>
                <w:szCs w:val="17"/>
              </w:rPr>
              <w:t xml:space="preserve">Retailer friction on hosting economics</w:t>
            </w:r>
            <w:r>
              <w:rPr>
                <w:sz w:val="17"/>
                <w:szCs w:val="17"/>
              </w:rPr>
              <w:t xml:space="preserve"> (Hungary: large retail partners publicly frustrated by handling-fee economics, 2025)</w:t>
            </w:r>
          </w:p>
        </w:tc>
        <w:tc>
          <w:tcPr>
            <w:tcW w:type="dxa" w:w="1456"/>
            <w:shd w:fill="FFFFFF" w:val="clear"/>
            <w:tcMar>
              <w:top w:type="dxa" w:w="80"/>
              <w:left w:type="dxa" w:w="100"/>
              <w:bottom w:type="dxa" w:w="80"/>
              <w:right w:type="dxa" w:w="100"/>
            </w:tcMar>
          </w:tcPr>
          <w:p>
            <w:pPr>
              <w:spacing w:after="0" w:line="240"/>
            </w:pPr>
            <w:r>
              <w:rPr>
                <w:sz w:val="17"/>
                <w:szCs w:val="17"/>
              </w:rPr>
              <w:t xml:space="preserve">3</w:t>
            </w:r>
          </w:p>
        </w:tc>
        <w:tc>
          <w:tcPr>
            <w:tcW w:type="dxa" w:w="1456"/>
            <w:shd w:fill="FFFFFF" w:val="clear"/>
            <w:tcMar>
              <w:top w:type="dxa" w:w="80"/>
              <w:left w:type="dxa" w:w="100"/>
              <w:bottom w:type="dxa" w:w="80"/>
              <w:right w:type="dxa" w:w="100"/>
            </w:tcMar>
          </w:tcPr>
          <w:p>
            <w:pPr>
              <w:spacing w:after="0" w:line="240"/>
            </w:pPr>
            <w:r>
              <w:rPr>
                <w:sz w:val="17"/>
                <w:szCs w:val="17"/>
              </w:rPr>
              <w:t xml:space="preserve">3</w:t>
            </w:r>
          </w:p>
        </w:tc>
        <w:tc>
          <w:tcPr>
            <w:tcW w:type="dxa" w:w="1456"/>
            <w:shd w:fill="FFFFFF" w:val="clear"/>
            <w:tcMar>
              <w:top w:type="dxa" w:w="80"/>
              <w:left w:type="dxa" w:w="100"/>
              <w:bottom w:type="dxa" w:w="80"/>
              <w:right w:type="dxa" w:w="100"/>
            </w:tcMar>
          </w:tcPr>
          <w:p>
            <w:pPr>
              <w:spacing w:after="0" w:line="240"/>
            </w:pPr>
            <w:r>
              <w:rPr>
                <w:sz w:val="17"/>
                <w:szCs w:val="17"/>
              </w:rPr>
              <w:t xml:space="preserve">RHF benchmarked to Ireland (AED ~0.10/container, R7); small-retailer RVM support grants (Ireland €1,000-3,000 precedent); early retail working group (§9.3)</w:t>
            </w:r>
          </w:p>
        </w:tc>
        <w:tc>
          <w:tcPr>
            <w:tcW w:type="dxa" w:w="1458"/>
            <w:shd w:fill="FFFFFF" w:val="clear"/>
            <w:tcMar>
              <w:top w:type="dxa" w:w="80"/>
              <w:left w:type="dxa" w:w="100"/>
              <w:bottom w:type="dxa" w:w="80"/>
              <w:right w:type="dxa" w:w="100"/>
            </w:tcMar>
          </w:tcPr>
          <w:p>
            <w:pPr>
              <w:spacing w:after="0" w:line="240"/>
            </w:pPr>
            <w:r>
              <w:rPr>
                <w:sz w:val="17"/>
                <w:szCs w:val="17"/>
              </w:rPr>
              <w:t xml:space="preserve">DSO</w:t>
            </w:r>
          </w:p>
        </w:tc>
      </w:tr>
      <w:tr>
        <w:tc>
          <w:tcPr>
            <w:tcW w:type="dxa" w:w="1456"/>
            <w:shd w:fill="F5F1E8" w:val="clear"/>
            <w:tcMar>
              <w:top w:type="dxa" w:w="80"/>
              <w:left w:type="dxa" w:w="100"/>
              <w:bottom w:type="dxa" w:w="80"/>
              <w:right w:type="dxa" w:w="100"/>
            </w:tcMar>
          </w:tcPr>
          <w:p>
            <w:pPr>
              <w:spacing w:after="0" w:line="240"/>
            </w:pPr>
            <w:r>
              <w:rPr>
                <w:sz w:val="17"/>
                <w:szCs w:val="17"/>
              </w:rPr>
              <w:t xml:space="preserve">R8</w:t>
            </w:r>
          </w:p>
        </w:tc>
        <w:tc>
          <w:tcPr>
            <w:tcW w:type="dxa" w:w="1456"/>
            <w:shd w:fill="F5F1E8" w:val="clear"/>
            <w:tcMar>
              <w:top w:type="dxa" w:w="80"/>
              <w:left w:type="dxa" w:w="100"/>
              <w:bottom w:type="dxa" w:w="80"/>
              <w:right w:type="dxa" w:w="100"/>
            </w:tcMar>
          </w:tcPr>
          <w:p>
            <w:pPr>
              <w:spacing w:after="0" w:line="240"/>
            </w:pPr>
            <w:r>
              <w:rPr>
                <w:b/>
                <w:bCs/>
                <w:sz w:val="17"/>
                <w:szCs w:val="17"/>
              </w:rPr>
              <w:t xml:space="preserve">Fraud &amp; cross-border leakage</w:t>
            </w:r>
            <w:r>
              <w:rPr>
                <w:sz w:val="17"/>
                <w:szCs w:val="17"/>
              </w:rPr>
              <w:t xml:space="preserve"> - GCC neighbours have no DRS; UAE tourism/transit flows are large</w:t>
            </w:r>
          </w:p>
        </w:tc>
        <w:tc>
          <w:tcPr>
            <w:tcW w:type="dxa" w:w="1456"/>
            <w:shd w:fill="F5F1E8" w:val="clear"/>
            <w:tcMar>
              <w:top w:type="dxa" w:w="80"/>
              <w:left w:type="dxa" w:w="100"/>
              <w:bottom w:type="dxa" w:w="80"/>
              <w:right w:type="dxa" w:w="100"/>
            </w:tcMar>
          </w:tcPr>
          <w:p>
            <w:pPr>
              <w:spacing w:after="0" w:line="240"/>
            </w:pPr>
            <w:r>
              <w:rPr>
                <w:sz w:val="17"/>
                <w:szCs w:val="17"/>
              </w:rPr>
              <w:t xml:space="preserve">3</w:t>
            </w:r>
          </w:p>
        </w:tc>
        <w:tc>
          <w:tcPr>
            <w:tcW w:type="dxa" w:w="1456"/>
            <w:shd w:fill="F5F1E8" w:val="clear"/>
            <w:tcMar>
              <w:top w:type="dxa" w:w="80"/>
              <w:left w:type="dxa" w:w="100"/>
              <w:bottom w:type="dxa" w:w="80"/>
              <w:right w:type="dxa" w:w="100"/>
            </w:tcMar>
          </w:tcPr>
          <w:p>
            <w:pPr>
              <w:spacing w:after="0" w:line="240"/>
            </w:pPr>
            <w:r>
              <w:rPr>
                <w:sz w:val="17"/>
                <w:szCs w:val="17"/>
              </w:rPr>
              <w:t xml:space="preserve">3</w:t>
            </w:r>
          </w:p>
        </w:tc>
        <w:tc>
          <w:tcPr>
            <w:tcW w:type="dxa" w:w="1456"/>
            <w:shd w:fill="F5F1E8" w:val="clear"/>
            <w:tcMar>
              <w:top w:type="dxa" w:w="80"/>
              <w:left w:type="dxa" w:w="100"/>
              <w:bottom w:type="dxa" w:w="80"/>
              <w:right w:type="dxa" w:w="100"/>
            </w:tcMar>
          </w:tcPr>
          <w:p>
            <w:pPr>
              <w:spacing w:after="0" w:line="240"/>
            </w:pPr>
            <w:r>
              <w:rPr>
                <w:sz w:val="17"/>
                <w:szCs w:val="17"/>
              </w:rPr>
              <w:t xml:space="preserve">Moderate flat deposit (fraud/incentive balance principle, USAD); centralised barcode clearing; mandatory deposit mark; international-barcode surcharge; export exemption documentation (Art. 3)</w:t>
            </w:r>
          </w:p>
        </w:tc>
        <w:tc>
          <w:tcPr>
            <w:tcW w:type="dxa" w:w="1458"/>
            <w:shd w:fill="F5F1E8" w:val="clear"/>
            <w:tcMar>
              <w:top w:type="dxa" w:w="80"/>
              <w:left w:type="dxa" w:w="100"/>
              <w:bottom w:type="dxa" w:w="80"/>
              <w:right w:type="dxa" w:w="100"/>
            </w:tcMar>
          </w:tcPr>
          <w:p>
            <w:pPr>
              <w:spacing w:after="0" w:line="240"/>
            </w:pPr>
            <w:r>
              <w:rPr>
                <w:sz w:val="17"/>
                <w:szCs w:val="17"/>
              </w:rPr>
              <w:t xml:space="preserve">DSO / customs authorities</w:t>
            </w:r>
          </w:p>
        </w:tc>
      </w:tr>
      <w:tr>
        <w:tc>
          <w:tcPr>
            <w:tcW w:type="dxa" w:w="1456"/>
            <w:shd w:fill="FFFFFF" w:val="clear"/>
            <w:tcMar>
              <w:top w:type="dxa" w:w="80"/>
              <w:left w:type="dxa" w:w="100"/>
              <w:bottom w:type="dxa" w:w="80"/>
              <w:right w:type="dxa" w:w="100"/>
            </w:tcMar>
          </w:tcPr>
          <w:p>
            <w:pPr>
              <w:spacing w:after="0" w:line="240"/>
            </w:pPr>
            <w:r>
              <w:rPr>
                <w:sz w:val="17"/>
                <w:szCs w:val="17"/>
              </w:rPr>
              <w:t xml:space="preserve">R9</w:t>
            </w:r>
          </w:p>
        </w:tc>
        <w:tc>
          <w:tcPr>
            <w:tcW w:type="dxa" w:w="1456"/>
            <w:shd w:fill="FFFFFF" w:val="clear"/>
            <w:tcMar>
              <w:top w:type="dxa" w:w="80"/>
              <w:left w:type="dxa" w:w="100"/>
              <w:bottom w:type="dxa" w:w="80"/>
              <w:right w:type="dxa" w:w="100"/>
            </w:tcMar>
          </w:tcPr>
          <w:p>
            <w:pPr>
              <w:spacing w:after="0" w:line="240"/>
            </w:pPr>
            <w:r>
              <w:rPr>
                <w:b/>
                <w:bCs/>
                <w:sz w:val="17"/>
                <w:szCs w:val="17"/>
              </w:rPr>
              <w:t xml:space="preserve">Incumbent-operator resistance</w:t>
            </w:r>
            <w:r>
              <w:rPr>
                <w:sz w:val="17"/>
                <w:szCs w:val="17"/>
              </w:rPr>
              <w:t xml:space="preserve"> - existing voluntary RVM networks (Sparklo, RECAPP) or waste incumbents contest the scheme (Spain stalled on incumbent PRO resistance)</w:t>
            </w:r>
          </w:p>
        </w:tc>
        <w:tc>
          <w:tcPr>
            <w:tcW w:type="dxa" w:w="1456"/>
            <w:shd w:fill="FFFFFF" w:val="clear"/>
            <w:tcMar>
              <w:top w:type="dxa" w:w="80"/>
              <w:left w:type="dxa" w:w="100"/>
              <w:bottom w:type="dxa" w:w="80"/>
              <w:right w:type="dxa" w:w="100"/>
            </w:tcMar>
          </w:tcPr>
          <w:p>
            <w:pPr>
              <w:spacing w:after="0" w:line="240"/>
            </w:pPr>
            <w:r>
              <w:rPr>
                <w:sz w:val="17"/>
                <w:szCs w:val="17"/>
              </w:rPr>
              <w:t xml:space="preserve">3</w:t>
            </w:r>
          </w:p>
        </w:tc>
        <w:tc>
          <w:tcPr>
            <w:tcW w:type="dxa" w:w="1456"/>
            <w:shd w:fill="FFFFFF" w:val="clear"/>
            <w:tcMar>
              <w:top w:type="dxa" w:w="80"/>
              <w:left w:type="dxa" w:w="100"/>
              <w:bottom w:type="dxa" w:w="80"/>
              <w:right w:type="dxa" w:w="100"/>
            </w:tcMar>
          </w:tcPr>
          <w:p>
            <w:pPr>
              <w:spacing w:after="0" w:line="240"/>
            </w:pPr>
            <w:r>
              <w:rPr>
                <w:sz w:val="17"/>
                <w:szCs w:val="17"/>
              </w:rPr>
              <w:t xml:space="preserve">3</w:t>
            </w:r>
          </w:p>
        </w:tc>
        <w:tc>
          <w:tcPr>
            <w:tcW w:type="dxa" w:w="1456"/>
            <w:shd w:fill="FFFFFF" w:val="clear"/>
            <w:tcMar>
              <w:top w:type="dxa" w:w="80"/>
              <w:left w:type="dxa" w:w="100"/>
              <w:bottom w:type="dxa" w:w="80"/>
              <w:right w:type="dxa" w:w="100"/>
            </w:tcMar>
          </w:tcPr>
          <w:p>
            <w:pPr>
              <w:spacing w:after="0" w:line="240"/>
            </w:pPr>
            <w:r>
              <w:rPr>
                <w:sz w:val="17"/>
                <w:szCs w:val="17"/>
              </w:rPr>
              <w:t xml:space="preserve">Recognition pathway for existing RVM estates as authorised return points (Art. 22); procurement neutrality; early engagement (§9.3)</w:t>
            </w:r>
          </w:p>
        </w:tc>
        <w:tc>
          <w:tcPr>
            <w:tcW w:type="dxa" w:w="1458"/>
            <w:shd w:fill="FFFFFF" w:val="clear"/>
            <w:tcMar>
              <w:top w:type="dxa" w:w="80"/>
              <w:left w:type="dxa" w:w="100"/>
              <w:bottom w:type="dxa" w:w="80"/>
              <w:right w:type="dxa" w:w="100"/>
            </w:tcMar>
          </w:tcPr>
          <w:p>
            <w:pPr>
              <w:spacing w:after="0" w:line="240"/>
            </w:pPr>
            <w:r>
              <w:rPr>
                <w:sz w:val="17"/>
                <w:szCs w:val="17"/>
              </w:rPr>
              <w:t xml:space="preserve">Programme office</w:t>
            </w:r>
          </w:p>
        </w:tc>
      </w:tr>
      <w:tr>
        <w:tc>
          <w:tcPr>
            <w:tcW w:type="dxa" w:w="1456"/>
            <w:shd w:fill="F5F1E8" w:val="clear"/>
            <w:tcMar>
              <w:top w:type="dxa" w:w="80"/>
              <w:left w:type="dxa" w:w="100"/>
              <w:bottom w:type="dxa" w:w="80"/>
              <w:right w:type="dxa" w:w="100"/>
            </w:tcMar>
          </w:tcPr>
          <w:p>
            <w:pPr>
              <w:spacing w:after="0" w:line="240"/>
            </w:pPr>
            <w:r>
              <w:rPr>
                <w:sz w:val="17"/>
                <w:szCs w:val="17"/>
              </w:rPr>
              <w:t xml:space="preserve">R10</w:t>
            </w:r>
          </w:p>
        </w:tc>
        <w:tc>
          <w:tcPr>
            <w:tcW w:type="dxa" w:w="1456"/>
            <w:shd w:fill="F5F1E8" w:val="clear"/>
            <w:tcMar>
              <w:top w:type="dxa" w:w="80"/>
              <w:left w:type="dxa" w:w="100"/>
              <w:bottom w:type="dxa" w:w="80"/>
              <w:right w:type="dxa" w:w="100"/>
            </w:tcMar>
          </w:tcPr>
          <w:p>
            <w:pPr>
              <w:spacing w:after="0" w:line="240"/>
            </w:pPr>
            <w:r>
              <w:rPr>
                <w:b/>
                <w:bCs/>
                <w:sz w:val="17"/>
                <w:szCs w:val="17"/>
              </w:rPr>
              <w:t xml:space="preserve">rPET/UBC price collapse</w:t>
            </w:r>
            <w:r>
              <w:rPr>
                <w:sz w:val="17"/>
                <w:szCs w:val="17"/>
              </w:rPr>
              <w:t xml:space="preserve"> - material revenue ~30% of steady-state income; ±30% rPET price swings IRR ~29 pts (R7 §3)</w:t>
            </w:r>
          </w:p>
        </w:tc>
        <w:tc>
          <w:tcPr>
            <w:tcW w:type="dxa" w:w="1456"/>
            <w:shd w:fill="F5F1E8" w:val="clear"/>
            <w:tcMar>
              <w:top w:type="dxa" w:w="80"/>
              <w:left w:type="dxa" w:w="100"/>
              <w:bottom w:type="dxa" w:w="80"/>
              <w:right w:type="dxa" w:w="100"/>
            </w:tcMar>
          </w:tcPr>
          <w:p>
            <w:pPr>
              <w:spacing w:after="0" w:line="240"/>
            </w:pPr>
            <w:r>
              <w:rPr>
                <w:sz w:val="17"/>
                <w:szCs w:val="17"/>
              </w:rPr>
              <w:t xml:space="preserve">3</w:t>
            </w:r>
          </w:p>
        </w:tc>
        <w:tc>
          <w:tcPr>
            <w:tcW w:type="dxa" w:w="1456"/>
            <w:shd w:fill="F5F1E8" w:val="clear"/>
            <w:tcMar>
              <w:top w:type="dxa" w:w="80"/>
              <w:left w:type="dxa" w:w="100"/>
              <w:bottom w:type="dxa" w:w="80"/>
              <w:right w:type="dxa" w:w="100"/>
            </w:tcMar>
          </w:tcPr>
          <w:p>
            <w:pPr>
              <w:spacing w:after="0" w:line="240"/>
            </w:pPr>
            <w:r>
              <w:rPr>
                <w:sz w:val="17"/>
                <w:szCs w:val="17"/>
              </w:rPr>
              <w:t xml:space="preserve">3</w:t>
            </w:r>
          </w:p>
        </w:tc>
        <w:tc>
          <w:tcPr>
            <w:tcW w:type="dxa" w:w="1456"/>
            <w:shd w:fill="F5F1E8" w:val="clear"/>
            <w:tcMar>
              <w:top w:type="dxa" w:w="80"/>
              <w:left w:type="dxa" w:w="100"/>
              <w:bottom w:type="dxa" w:w="80"/>
              <w:right w:type="dxa" w:w="100"/>
            </w:tcMar>
          </w:tcPr>
          <w:p>
            <w:pPr>
              <w:spacing w:after="0" w:line="240"/>
            </w:pPr>
            <w:r>
              <w:rPr>
                <w:sz w:val="17"/>
                <w:szCs w:val="17"/>
              </w:rPr>
              <w:t xml:space="preserve">Fee formula absorbs commodity cycles; floor-price offtake agreements with regional recyclers (EGA aluminium ecosystem); eco-modulation revenue</w:t>
            </w:r>
          </w:p>
        </w:tc>
        <w:tc>
          <w:tcPr>
            <w:tcW w:type="dxa" w:w="1458"/>
            <w:shd w:fill="F5F1E8" w:val="clear"/>
            <w:tcMar>
              <w:top w:type="dxa" w:w="80"/>
              <w:left w:type="dxa" w:w="100"/>
              <w:bottom w:type="dxa" w:w="80"/>
              <w:right w:type="dxa" w:w="100"/>
            </w:tcMar>
          </w:tcPr>
          <w:p>
            <w:pPr>
              <w:spacing w:after="0" w:line="240"/>
            </w:pPr>
            <w:r>
              <w:rPr>
                <w:sz w:val="17"/>
                <w:szCs w:val="17"/>
              </w:rPr>
              <w:t xml:space="preserve">DSO</w:t>
            </w:r>
          </w:p>
        </w:tc>
      </w:tr>
      <w:tr>
        <w:tc>
          <w:tcPr>
            <w:tcW w:type="dxa" w:w="1456"/>
            <w:shd w:fill="FFFFFF" w:val="clear"/>
            <w:tcMar>
              <w:top w:type="dxa" w:w="80"/>
              <w:left w:type="dxa" w:w="100"/>
              <w:bottom w:type="dxa" w:w="80"/>
              <w:right w:type="dxa" w:w="100"/>
            </w:tcMar>
          </w:tcPr>
          <w:p>
            <w:pPr>
              <w:spacing w:after="0" w:line="240"/>
            </w:pPr>
            <w:r>
              <w:rPr>
                <w:sz w:val="17"/>
                <w:szCs w:val="17"/>
              </w:rPr>
              <w:t xml:space="preserve">R11</w:t>
            </w:r>
          </w:p>
        </w:tc>
        <w:tc>
          <w:tcPr>
            <w:tcW w:type="dxa" w:w="1456"/>
            <w:shd w:fill="FFFFFF" w:val="clear"/>
            <w:tcMar>
              <w:top w:type="dxa" w:w="80"/>
              <w:left w:type="dxa" w:w="100"/>
              <w:bottom w:type="dxa" w:w="80"/>
              <w:right w:type="dxa" w:w="100"/>
            </w:tcMar>
          </w:tcPr>
          <w:p>
            <w:pPr>
              <w:spacing w:after="0" w:line="240"/>
            </w:pPr>
            <w:r>
              <w:rPr>
                <w:b/>
                <w:bCs/>
                <w:sz w:val="17"/>
                <w:szCs w:val="17"/>
              </w:rPr>
              <w:t xml:space="preserve">Glass economics drag</w:t>
            </w:r>
            <w:r>
              <w:rPr>
                <w:sz w:val="17"/>
                <w:szCs w:val="17"/>
              </w:rPr>
              <w:t xml:space="preserve"> - glass is a net-cost stream (cullet ~AED 440/t rarely covers logistics; no UAE furnace offtake)</w:t>
            </w:r>
          </w:p>
        </w:tc>
        <w:tc>
          <w:tcPr>
            <w:tcW w:type="dxa" w:w="1456"/>
            <w:shd w:fill="FFFFFF" w:val="clear"/>
            <w:tcMar>
              <w:top w:type="dxa" w:w="80"/>
              <w:left w:type="dxa" w:w="100"/>
              <w:bottom w:type="dxa" w:w="80"/>
              <w:right w:type="dxa" w:w="100"/>
            </w:tcMar>
          </w:tcPr>
          <w:p>
            <w:pPr>
              <w:spacing w:after="0" w:line="240"/>
            </w:pPr>
            <w:r>
              <w:rPr>
                <w:sz w:val="17"/>
                <w:szCs w:val="17"/>
              </w:rPr>
              <w:t xml:space="preserve">4</w:t>
            </w:r>
          </w:p>
        </w:tc>
        <w:tc>
          <w:tcPr>
            <w:tcW w:type="dxa" w:w="1456"/>
            <w:shd w:fill="FFFFFF" w:val="clear"/>
            <w:tcMar>
              <w:top w:type="dxa" w:w="80"/>
              <w:left w:type="dxa" w:w="100"/>
              <w:bottom w:type="dxa" w:w="80"/>
              <w:right w:type="dxa" w:w="100"/>
            </w:tcMar>
          </w:tcPr>
          <w:p>
            <w:pPr>
              <w:spacing w:after="0" w:line="240"/>
            </w:pPr>
            <w:r>
              <w:rPr>
                <w:sz w:val="17"/>
                <w:szCs w:val="17"/>
              </w:rPr>
              <w:t xml:space="preserve">2</w:t>
            </w:r>
          </w:p>
        </w:tc>
        <w:tc>
          <w:tcPr>
            <w:tcW w:type="dxa" w:w="1456"/>
            <w:shd w:fill="FFFFFF" w:val="clear"/>
            <w:tcMar>
              <w:top w:type="dxa" w:w="80"/>
              <w:left w:type="dxa" w:w="100"/>
              <w:bottom w:type="dxa" w:w="80"/>
              <w:right w:type="dxa" w:w="100"/>
            </w:tcMar>
          </w:tcPr>
          <w:p>
            <w:pPr>
              <w:spacing w:after="0" w:line="240"/>
            </w:pPr>
            <w:r>
              <w:rPr>
                <w:sz w:val="17"/>
                <w:szCs w:val="17"/>
              </w:rPr>
              <w:t xml:space="preserve">Glass fee AED 0.24 already priced as net-cost stream (R7); glass return-rate target set 5 pts below PET/metal (Lithuania pattern); review scope at year-2 review</w:t>
            </w:r>
          </w:p>
        </w:tc>
        <w:tc>
          <w:tcPr>
            <w:tcW w:type="dxa" w:w="1458"/>
            <w:shd w:fill="FFFFFF" w:val="clear"/>
            <w:tcMar>
              <w:top w:type="dxa" w:w="80"/>
              <w:left w:type="dxa" w:w="100"/>
              <w:bottom w:type="dxa" w:w="80"/>
              <w:right w:type="dxa" w:w="100"/>
            </w:tcMar>
          </w:tcPr>
          <w:p>
            <w:pPr>
              <w:spacing w:after="0" w:line="240"/>
            </w:pPr>
            <w:r>
              <w:rPr>
                <w:sz w:val="17"/>
                <w:szCs w:val="17"/>
              </w:rPr>
              <w:t xml:space="preserve">DSO</w:t>
            </w:r>
          </w:p>
        </w:tc>
      </w:tr>
      <w:tr>
        <w:tc>
          <w:tcPr>
            <w:tcW w:type="dxa" w:w="1456"/>
            <w:shd w:fill="F5F1E8" w:val="clear"/>
            <w:tcMar>
              <w:top w:type="dxa" w:w="80"/>
              <w:left w:type="dxa" w:w="100"/>
              <w:bottom w:type="dxa" w:w="80"/>
              <w:right w:type="dxa" w:w="100"/>
            </w:tcMar>
          </w:tcPr>
          <w:p>
            <w:pPr>
              <w:spacing w:after="0" w:line="240"/>
            </w:pPr>
            <w:r>
              <w:rPr>
                <w:sz w:val="17"/>
                <w:szCs w:val="17"/>
              </w:rPr>
              <w:t xml:space="preserve">R12</w:t>
            </w:r>
          </w:p>
        </w:tc>
        <w:tc>
          <w:tcPr>
            <w:tcW w:type="dxa" w:w="1456"/>
            <w:shd w:fill="F5F1E8" w:val="clear"/>
            <w:tcMar>
              <w:top w:type="dxa" w:w="80"/>
              <w:left w:type="dxa" w:w="100"/>
              <w:bottom w:type="dxa" w:w="80"/>
              <w:right w:type="dxa" w:w="100"/>
            </w:tcMar>
          </w:tcPr>
          <w:p>
            <w:pPr>
              <w:spacing w:after="0" w:line="240"/>
            </w:pPr>
            <w:r>
              <w:rPr>
                <w:b/>
                <w:bCs/>
                <w:sz w:val="17"/>
                <w:szCs w:val="17"/>
              </w:rPr>
              <w:t xml:space="preserve">Escrow/float governance criticism</w:t>
            </w:r>
            <w:r>
              <w:rPr>
                <w:sz w:val="17"/>
                <w:szCs w:val="17"/>
              </w:rPr>
              <w:t xml:space="preserve"> - public or producer suspicion over AED 935m/yr deposit flows</w:t>
            </w:r>
          </w:p>
        </w:tc>
        <w:tc>
          <w:tcPr>
            <w:tcW w:type="dxa" w:w="1456"/>
            <w:shd w:fill="F5F1E8" w:val="clear"/>
            <w:tcMar>
              <w:top w:type="dxa" w:w="80"/>
              <w:left w:type="dxa" w:w="100"/>
              <w:bottom w:type="dxa" w:w="80"/>
              <w:right w:type="dxa" w:w="100"/>
            </w:tcMar>
          </w:tcPr>
          <w:p>
            <w:pPr>
              <w:spacing w:after="0" w:line="240"/>
            </w:pPr>
            <w:r>
              <w:rPr>
                <w:sz w:val="17"/>
                <w:szCs w:val="17"/>
              </w:rPr>
              <w:t xml:space="preserve">2</w:t>
            </w:r>
          </w:p>
        </w:tc>
        <w:tc>
          <w:tcPr>
            <w:tcW w:type="dxa" w:w="1456"/>
            <w:shd w:fill="F5F1E8" w:val="clear"/>
            <w:tcMar>
              <w:top w:type="dxa" w:w="80"/>
              <w:left w:type="dxa" w:w="100"/>
              <w:bottom w:type="dxa" w:w="80"/>
              <w:right w:type="dxa" w:w="100"/>
            </w:tcMar>
          </w:tcPr>
          <w:p>
            <w:pPr>
              <w:spacing w:after="0" w:line="240"/>
            </w:pPr>
            <w:r>
              <w:rPr>
                <w:sz w:val="17"/>
                <w:szCs w:val="17"/>
              </w:rPr>
              <w:t xml:space="preserve">4</w:t>
            </w:r>
          </w:p>
        </w:tc>
        <w:tc>
          <w:tcPr>
            <w:tcW w:type="dxa" w:w="1456"/>
            <w:shd w:fill="F5F1E8" w:val="clear"/>
            <w:tcMar>
              <w:top w:type="dxa" w:w="80"/>
              <w:left w:type="dxa" w:w="100"/>
              <w:bottom w:type="dxa" w:w="80"/>
              <w:right w:type="dxa" w:w="100"/>
            </w:tcMar>
          </w:tcPr>
          <w:p>
            <w:pPr>
              <w:spacing w:after="0" w:line="240"/>
            </w:pPr>
            <w:r>
              <w:rPr>
                <w:sz w:val="17"/>
                <w:szCs w:val="17"/>
              </w:rPr>
              <w:t xml:space="preserve">Statutory ring-fenced transparent escrow (Art. 14-16); published independent audits; explicit rule that the operator earns zero from unredeemed deposits</w:t>
            </w:r>
          </w:p>
        </w:tc>
        <w:tc>
          <w:tcPr>
            <w:tcW w:type="dxa" w:w="1458"/>
            <w:shd w:fill="F5F1E8" w:val="clear"/>
            <w:tcMar>
              <w:top w:type="dxa" w:w="80"/>
              <w:left w:type="dxa" w:w="100"/>
              <w:bottom w:type="dxa" w:w="80"/>
              <w:right w:type="dxa" w:w="100"/>
            </w:tcMar>
          </w:tcPr>
          <w:p>
            <w:pPr>
              <w:spacing w:after="0" w:line="240"/>
            </w:pPr>
            <w:r>
              <w:rPr>
                <w:sz w:val="17"/>
                <w:szCs w:val="17"/>
              </w:rPr>
              <w:t xml:space="preserve">MOCCAE / DSO auditor</w:t>
            </w:r>
          </w:p>
        </w:tc>
      </w:tr>
      <w:tr>
        <w:tc>
          <w:tcPr>
            <w:tcW w:type="dxa" w:w="1456"/>
            <w:shd w:fill="FFFFFF" w:val="clear"/>
            <w:tcMar>
              <w:top w:type="dxa" w:w="80"/>
              <w:left w:type="dxa" w:w="100"/>
              <w:bottom w:type="dxa" w:w="80"/>
              <w:right w:type="dxa" w:w="100"/>
            </w:tcMar>
          </w:tcPr>
          <w:p>
            <w:pPr>
              <w:spacing w:after="0" w:line="240"/>
            </w:pPr>
            <w:r>
              <w:rPr>
                <w:sz w:val="17"/>
                <w:szCs w:val="17"/>
              </w:rPr>
              <w:t xml:space="preserve">R13</w:t>
            </w:r>
          </w:p>
        </w:tc>
        <w:tc>
          <w:tcPr>
            <w:tcW w:type="dxa" w:w="1456"/>
            <w:shd w:fill="FFFFFF" w:val="clear"/>
            <w:tcMar>
              <w:top w:type="dxa" w:w="80"/>
              <w:left w:type="dxa" w:w="100"/>
              <w:bottom w:type="dxa" w:w="80"/>
              <w:right w:type="dxa" w:w="100"/>
            </w:tcMar>
          </w:tcPr>
          <w:p>
            <w:pPr>
              <w:spacing w:after="0" w:line="240"/>
            </w:pPr>
            <w:r>
              <w:rPr>
                <w:b/>
                <w:bCs/>
                <w:sz w:val="17"/>
                <w:szCs w:val="17"/>
              </w:rPr>
              <w:t xml:space="preserve">IT/clearing failure at launch</w:t>
            </w:r>
            <w:r>
              <w:rPr>
                <w:sz w:val="17"/>
                <w:szCs w:val="17"/>
              </w:rPr>
              <w:t xml:space="preserve"> - settlement or barcode-clearing outage in launch weeks</w:t>
            </w:r>
          </w:p>
        </w:tc>
        <w:tc>
          <w:tcPr>
            <w:tcW w:type="dxa" w:w="1456"/>
            <w:shd w:fill="FFFFFF" w:val="clear"/>
            <w:tcMar>
              <w:top w:type="dxa" w:w="80"/>
              <w:left w:type="dxa" w:w="100"/>
              <w:bottom w:type="dxa" w:w="80"/>
              <w:right w:type="dxa" w:w="100"/>
            </w:tcMar>
          </w:tcPr>
          <w:p>
            <w:pPr>
              <w:spacing w:after="0" w:line="240"/>
            </w:pPr>
            <w:r>
              <w:rPr>
                <w:sz w:val="17"/>
                <w:szCs w:val="17"/>
              </w:rPr>
              <w:t xml:space="preserve">2</w:t>
            </w:r>
          </w:p>
        </w:tc>
        <w:tc>
          <w:tcPr>
            <w:tcW w:type="dxa" w:w="1456"/>
            <w:shd w:fill="FFFFFF" w:val="clear"/>
            <w:tcMar>
              <w:top w:type="dxa" w:w="80"/>
              <w:left w:type="dxa" w:w="100"/>
              <w:bottom w:type="dxa" w:w="80"/>
              <w:right w:type="dxa" w:w="100"/>
            </w:tcMar>
          </w:tcPr>
          <w:p>
            <w:pPr>
              <w:spacing w:after="0" w:line="240"/>
            </w:pPr>
            <w:r>
              <w:rPr>
                <w:sz w:val="17"/>
                <w:szCs w:val="17"/>
              </w:rPr>
              <w:t xml:space="preserve">4</w:t>
            </w:r>
          </w:p>
        </w:tc>
        <w:tc>
          <w:tcPr>
            <w:tcW w:type="dxa" w:w="1456"/>
            <w:shd w:fill="FFFFFF" w:val="clear"/>
            <w:tcMar>
              <w:top w:type="dxa" w:w="80"/>
              <w:left w:type="dxa" w:w="100"/>
              <w:bottom w:type="dxa" w:w="80"/>
              <w:right w:type="dxa" w:w="100"/>
            </w:tcMar>
          </w:tcPr>
          <w:p>
            <w:pPr>
              <w:spacing w:after="0" w:line="240"/>
            </w:pPr>
            <w:r>
              <w:rPr>
                <w:sz w:val="17"/>
                <w:szCs w:val="17"/>
              </w:rPr>
              <w:t xml:space="preserve">Soft launch as live stress test; Slovakia-type 6-12-month build with acceptance testing; manual-fallback refund procedures</w:t>
            </w:r>
          </w:p>
        </w:tc>
        <w:tc>
          <w:tcPr>
            <w:tcW w:type="dxa" w:w="1458"/>
            <w:shd w:fill="FFFFFF" w:val="clear"/>
            <w:tcMar>
              <w:top w:type="dxa" w:w="80"/>
              <w:left w:type="dxa" w:w="100"/>
              <w:bottom w:type="dxa" w:w="80"/>
              <w:right w:type="dxa" w:w="100"/>
            </w:tcMar>
          </w:tcPr>
          <w:p>
            <w:pPr>
              <w:spacing w:after="0" w:line="240"/>
            </w:pPr>
            <w:r>
              <w:rPr>
                <w:sz w:val="17"/>
                <w:szCs w:val="17"/>
              </w:rPr>
              <w:t xml:space="preserve">DSO</w:t>
            </w:r>
          </w:p>
        </w:tc>
      </w:tr>
      <w:tr>
        <w:tc>
          <w:tcPr>
            <w:tcW w:type="dxa" w:w="1456"/>
            <w:shd w:fill="F5F1E8" w:val="clear"/>
            <w:tcMar>
              <w:top w:type="dxa" w:w="80"/>
              <w:left w:type="dxa" w:w="100"/>
              <w:bottom w:type="dxa" w:w="80"/>
              <w:right w:type="dxa" w:w="100"/>
            </w:tcMar>
          </w:tcPr>
          <w:p>
            <w:pPr>
              <w:spacing w:after="0" w:line="240"/>
            </w:pPr>
            <w:r>
              <w:rPr>
                <w:sz w:val="17"/>
                <w:szCs w:val="17"/>
              </w:rPr>
              <w:t xml:space="preserve">R14</w:t>
            </w:r>
          </w:p>
        </w:tc>
        <w:tc>
          <w:tcPr>
            <w:tcW w:type="dxa" w:w="1456"/>
            <w:shd w:fill="F5F1E8" w:val="clear"/>
            <w:tcMar>
              <w:top w:type="dxa" w:w="80"/>
              <w:left w:type="dxa" w:w="100"/>
              <w:bottom w:type="dxa" w:w="80"/>
              <w:right w:type="dxa" w:w="100"/>
            </w:tcMar>
          </w:tcPr>
          <w:p>
            <w:pPr>
              <w:spacing w:after="0" w:line="240"/>
            </w:pPr>
            <w:r>
              <w:rPr>
                <w:b/>
                <w:bCs/>
                <w:sz w:val="17"/>
                <w:szCs w:val="17"/>
              </w:rPr>
              <w:t xml:space="preserve">Tourism-channel underperformance</w:t>
            </w:r>
            <w:r>
              <w:rPr>
                <w:sz w:val="17"/>
                <w:szCs w:val="17"/>
              </w:rPr>
              <w:t xml:space="preserve"> - containers consumed in hotels/events/airports bypass return points</w:t>
            </w:r>
          </w:p>
        </w:tc>
        <w:tc>
          <w:tcPr>
            <w:tcW w:type="dxa" w:w="1456"/>
            <w:shd w:fill="F5F1E8" w:val="clear"/>
            <w:tcMar>
              <w:top w:type="dxa" w:w="80"/>
              <w:left w:type="dxa" w:w="100"/>
              <w:bottom w:type="dxa" w:w="80"/>
              <w:right w:type="dxa" w:w="100"/>
            </w:tcMar>
          </w:tcPr>
          <w:p>
            <w:pPr>
              <w:spacing w:after="0" w:line="240"/>
            </w:pPr>
            <w:r>
              <w:rPr>
                <w:sz w:val="17"/>
                <w:szCs w:val="17"/>
              </w:rPr>
              <w:t xml:space="preserve">3</w:t>
            </w:r>
          </w:p>
        </w:tc>
        <w:tc>
          <w:tcPr>
            <w:tcW w:type="dxa" w:w="1456"/>
            <w:shd w:fill="F5F1E8" w:val="clear"/>
            <w:tcMar>
              <w:top w:type="dxa" w:w="80"/>
              <w:left w:type="dxa" w:w="100"/>
              <w:bottom w:type="dxa" w:w="80"/>
              <w:right w:type="dxa" w:w="100"/>
            </w:tcMar>
          </w:tcPr>
          <w:p>
            <w:pPr>
              <w:spacing w:after="0" w:line="240"/>
            </w:pPr>
            <w:r>
              <w:rPr>
                <w:sz w:val="17"/>
                <w:szCs w:val="17"/>
              </w:rPr>
              <w:t xml:space="preserve">3</w:t>
            </w:r>
          </w:p>
        </w:tc>
        <w:tc>
          <w:tcPr>
            <w:tcW w:type="dxa" w:w="1456"/>
            <w:shd w:fill="F5F1E8" w:val="clear"/>
            <w:tcMar>
              <w:top w:type="dxa" w:w="80"/>
              <w:left w:type="dxa" w:w="100"/>
              <w:bottom w:type="dxa" w:w="80"/>
              <w:right w:type="dxa" w:w="100"/>
            </w:tcMar>
          </w:tcPr>
          <w:p>
            <w:pPr>
              <w:spacing w:after="0" w:line="240"/>
            </w:pPr>
            <w:r>
              <w:rPr>
                <w:sz w:val="17"/>
                <w:szCs w:val="17"/>
              </w:rPr>
              <w:t xml:space="preserve">HoReCa return-point obligations (Lithuania: 700 HoReCA points); airport/hotel RVM partnerships (Tabreed-Sparklo precedent at Ferrari World/Yas, 2025); event-deposit schemes</w:t>
            </w:r>
          </w:p>
        </w:tc>
        <w:tc>
          <w:tcPr>
            <w:tcW w:type="dxa" w:w="1458"/>
            <w:shd w:fill="F5F1E8" w:val="clear"/>
            <w:tcMar>
              <w:top w:type="dxa" w:w="80"/>
              <w:left w:type="dxa" w:w="100"/>
              <w:bottom w:type="dxa" w:w="80"/>
              <w:right w:type="dxa" w:w="100"/>
            </w:tcMar>
          </w:tcPr>
          <w:p>
            <w:pPr>
              <w:spacing w:after="0" w:line="240"/>
            </w:pPr>
            <w:r>
              <w:rPr>
                <w:sz w:val="17"/>
                <w:szCs w:val="17"/>
              </w:rPr>
              <w:t xml:space="preserve">DSO / Dubai Municipality / DMT</w:t>
            </w:r>
          </w:p>
        </w:tc>
      </w:tr>
    </w:tbl>
    <w:p>
      <w:pPr>
        <w:spacing w:after="200"/>
      </w:pPr>
      <w:r>
        <w:rPr>
          <w:sz w:val="8"/>
          <w:szCs w:val="8"/>
        </w:rPr>
        <w:t xml:space="preserve"/>
      </w:r>
    </w:p>
    <w:p>
      <w:pPr>
        <w:spacing w:after="160" w:line="300"/>
        <w:jc w:val="both"/>
      </w:pPr>
      <w:r>
        <w:t xml:space="preserve">Residual-risk statement: with mitigations applied, no risk remains above the "manageable" threshold except R1 (legislative delay), which is inherently a ministerial-domain risk - reinforcing the case for early, visible two-ministry sponsorship.</w:t>
      </w:r>
    </w:p>
    <w:p>
      <w:pPr>
        <w:spacing w:after="40" w:before="200"/>
        <w:jc w:val="center"/>
      </w:pPr>
      <w:r>
        <w:drawing>
          <wp:inline distT="0" distB="0" distL="0" distR="0">
            <wp:extent cx="5524500" cy="3676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5524500" cy="3676650"/>
                    </a:xfrm>
                    <a:prstGeom prst="rect">
                      <a:avLst/>
                    </a:prstGeom>
                  </pic:spPr>
                </pic:pic>
              </a:graphicData>
            </a:graphic>
          </wp:inline>
        </w:drawing>
      </w:r>
    </w:p>
    <w:p>
      <w:pPr>
        <w:spacing w:after="240" w:before="40"/>
        <w:jc w:val="center"/>
      </w:pPr>
      <w:r>
        <w:rPr>
          <w:rFonts w:ascii="Calibri" w:cs="Calibri" w:eastAsia="Calibri" w:hAnsi="Calibri"/>
          <w:i/>
          <w:iCs/>
          <w:color w:val="4A6580"/>
          <w:sz w:val="17"/>
          <w:szCs w:val="17"/>
        </w:rPr>
        <w:t xml:space="preserve">Risk heat-map - R1-R14 plotted by likelihood and impact; R1, R2 and R3 flagged as the three board-level risks.</w:t>
      </w:r>
    </w:p>
    <w:p>
      <w:pPr>
        <w:pStyle w:val="Heading2"/>
        <w:keepNext/>
        <w:spacing w:after="140" w:before="340"/>
      </w:pPr>
      <w:r>
        <w:rPr>
          <w:rFonts w:ascii="Georgia" w:cs="Georgia" w:eastAsia="Georgia" w:hAnsi="Georgia"/>
          <w:b/>
          <w:bCs/>
          <w:color w:val="1B2A4A"/>
          <w:sz w:val="30"/>
          <w:szCs w:val="30"/>
        </w:rPr>
        <w:t xml:space="preserve">9.2 KPI framework &amp; MRV protocol</w:t>
      </w:r>
    </w:p>
    <w:p>
      <w:pPr>
        <w:pStyle w:val="Heading3"/>
        <w:keepNext/>
        <w:spacing w:after="110" w:before="260"/>
      </w:pPr>
      <w:r>
        <w:rPr>
          <w:rFonts w:ascii="Calibri" w:cs="Calibri" w:eastAsia="Calibri" w:hAnsi="Calibri"/>
          <w:b/>
          <w:bCs/>
          <w:color w:val="4A6580"/>
          <w:sz w:val="24"/>
          <w:szCs w:val="24"/>
        </w:rPr>
        <w:t xml:space="preserve">KPI framework</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1747"/>
        <w:gridCol w:w="1747"/>
        <w:gridCol w:w="1747"/>
        <w:gridCol w:w="1747"/>
        <w:gridCol w:w="1750"/>
      </w:tblGrid>
      <w:tr>
        <w:trPr>
          <w:tblHeader/>
        </w:trPr>
        <w:tc>
          <w:tcPr>
            <w:tcW w:type="dxa" w:w="1747"/>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KPI</w:t>
            </w:r>
          </w:p>
        </w:tc>
        <w:tc>
          <w:tcPr>
            <w:tcW w:type="dxa" w:w="1747"/>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Definition</w:t>
            </w:r>
          </w:p>
        </w:tc>
        <w:tc>
          <w:tcPr>
            <w:tcW w:type="dxa" w:w="1747"/>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Year-1 target (2028/29)</w:t>
            </w:r>
          </w:p>
        </w:tc>
        <w:tc>
          <w:tcPr>
            <w:tcW w:type="dxa" w:w="1747"/>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Steady-state target (2034)</w:t>
            </w:r>
          </w:p>
        </w:tc>
        <w:tc>
          <w:tcPr>
            <w:tcW w:type="dxa" w:w="1750"/>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Benchmark anchor</w:t>
            </w:r>
          </w:p>
        </w:tc>
      </w:tr>
      <w:tr>
        <w:tc>
          <w:tcPr>
            <w:tcW w:type="dxa" w:w="1747"/>
            <w:shd w:fill="FFFFFF" w:val="clear"/>
            <w:tcMar>
              <w:top w:type="dxa" w:w="80"/>
              <w:left w:type="dxa" w:w="100"/>
              <w:bottom w:type="dxa" w:w="80"/>
              <w:right w:type="dxa" w:w="100"/>
            </w:tcMar>
          </w:tcPr>
          <w:p>
            <w:pPr>
              <w:spacing w:after="0" w:line="240"/>
            </w:pPr>
            <w:r>
              <w:rPr>
                <w:b/>
                <w:bCs/>
                <w:sz w:val="17"/>
                <w:szCs w:val="17"/>
              </w:rPr>
              <w:t xml:space="preserve">Return rate (total &amp; by material)</w:t>
            </w:r>
          </w:p>
        </w:tc>
        <w:tc>
          <w:tcPr>
            <w:tcW w:type="dxa" w:w="1747"/>
            <w:shd w:fill="FFFFFF" w:val="clear"/>
            <w:tcMar>
              <w:top w:type="dxa" w:w="80"/>
              <w:left w:type="dxa" w:w="100"/>
              <w:bottom w:type="dxa" w:w="80"/>
              <w:right w:type="dxa" w:w="100"/>
            </w:tcMar>
          </w:tcPr>
          <w:p>
            <w:pPr>
              <w:spacing w:after="0" w:line="240"/>
            </w:pPr>
            <w:r>
              <w:rPr>
                <w:sz w:val="17"/>
                <w:szCs w:val="17"/>
              </w:rPr>
              <w:t xml:space="preserve">Returned ÷ placed on market</w:t>
            </w:r>
          </w:p>
        </w:tc>
        <w:tc>
          <w:tcPr>
            <w:tcW w:type="dxa" w:w="1747"/>
            <w:shd w:fill="FFFFFF" w:val="clear"/>
            <w:tcMar>
              <w:top w:type="dxa" w:w="80"/>
              <w:left w:type="dxa" w:w="100"/>
              <w:bottom w:type="dxa" w:w="80"/>
              <w:right w:type="dxa" w:w="100"/>
            </w:tcMar>
          </w:tcPr>
          <w:p>
            <w:pPr>
              <w:spacing w:after="0" w:line="240"/>
            </w:pPr>
            <w:r>
              <w:rPr>
                <w:b/>
                <w:bCs/>
                <w:sz w:val="17"/>
                <w:szCs w:val="17"/>
              </w:rPr>
              <w:t xml:space="preserve">55%</w:t>
            </w:r>
          </w:p>
        </w:tc>
        <w:tc>
          <w:tcPr>
            <w:tcW w:type="dxa" w:w="1747"/>
            <w:shd w:fill="FFFFFF" w:val="clear"/>
            <w:tcMar>
              <w:top w:type="dxa" w:w="80"/>
              <w:left w:type="dxa" w:w="100"/>
              <w:bottom w:type="dxa" w:w="80"/>
              <w:right w:type="dxa" w:w="100"/>
            </w:tcMar>
          </w:tcPr>
          <w:p>
            <w:pPr>
              <w:spacing w:after="0" w:line="240"/>
            </w:pPr>
            <w:r>
              <w:rPr>
                <w:b/>
                <w:bCs/>
                <w:sz w:val="17"/>
                <w:szCs w:val="17"/>
              </w:rPr>
              <w:t xml:space="preserve">90%</w:t>
            </w:r>
          </w:p>
        </w:tc>
        <w:tc>
          <w:tcPr>
            <w:tcW w:type="dxa" w:w="1750"/>
            <w:shd w:fill="FFFFFF" w:val="clear"/>
            <w:tcMar>
              <w:top w:type="dxa" w:w="80"/>
              <w:left w:type="dxa" w:w="100"/>
              <w:bottom w:type="dxa" w:w="80"/>
              <w:right w:type="dxa" w:w="100"/>
            </w:tcMar>
          </w:tcPr>
          <w:p>
            <w:pPr>
              <w:spacing w:after="0" w:line="240"/>
            </w:pPr>
            <w:r>
              <w:rPr>
                <w:sz w:val="17"/>
                <w:szCs w:val="17"/>
              </w:rPr>
              <w:t xml:space="preserve">EU DRS median 91% (Reloop, 2026); ramp per R7</w:t>
            </w:r>
          </w:p>
        </w:tc>
      </w:tr>
      <w:tr>
        <w:tc>
          <w:tcPr>
            <w:tcW w:type="dxa" w:w="1747"/>
            <w:shd w:fill="F5F1E8" w:val="clear"/>
            <w:tcMar>
              <w:top w:type="dxa" w:w="80"/>
              <w:left w:type="dxa" w:w="100"/>
              <w:bottom w:type="dxa" w:w="80"/>
              <w:right w:type="dxa" w:w="100"/>
            </w:tcMar>
          </w:tcPr>
          <w:p>
            <w:pPr>
              <w:spacing w:after="0" w:line="240"/>
            </w:pPr>
            <w:r>
              <w:rPr>
                <w:b/>
                <w:bCs/>
                <w:sz w:val="17"/>
                <w:szCs w:val="17"/>
              </w:rPr>
              <w:t xml:space="preserve">Cost per returned container</w:t>
            </w:r>
          </w:p>
        </w:tc>
        <w:tc>
          <w:tcPr>
            <w:tcW w:type="dxa" w:w="1747"/>
            <w:shd w:fill="F5F1E8" w:val="clear"/>
            <w:tcMar>
              <w:top w:type="dxa" w:w="80"/>
              <w:left w:type="dxa" w:w="100"/>
              <w:bottom w:type="dxa" w:w="80"/>
              <w:right w:type="dxa" w:w="100"/>
            </w:tcMar>
          </w:tcPr>
          <w:p>
            <w:pPr>
              <w:spacing w:after="0" w:line="240"/>
            </w:pPr>
            <w:r>
              <w:rPr>
                <w:sz w:val="17"/>
                <w:szCs w:val="17"/>
              </w:rPr>
              <w:t xml:space="preserve">Total system OPEX ÷ returned units</w:t>
            </w:r>
          </w:p>
        </w:tc>
        <w:tc>
          <w:tcPr>
            <w:tcW w:type="dxa" w:w="1747"/>
            <w:shd w:fill="F5F1E8" w:val="clear"/>
            <w:tcMar>
              <w:top w:type="dxa" w:w="80"/>
              <w:left w:type="dxa" w:w="100"/>
              <w:bottom w:type="dxa" w:w="80"/>
              <w:right w:type="dxa" w:w="100"/>
            </w:tcMar>
          </w:tcPr>
          <w:p>
            <w:pPr>
              <w:spacing w:after="0" w:line="240"/>
            </w:pPr>
            <w:r>
              <w:rPr>
                <w:sz w:val="17"/>
                <w:szCs w:val="17"/>
              </w:rPr>
              <w:t xml:space="preserve">≤ AED 0.27</w:t>
            </w:r>
          </w:p>
        </w:tc>
        <w:tc>
          <w:tcPr>
            <w:tcW w:type="dxa" w:w="1747"/>
            <w:shd w:fill="F5F1E8" w:val="clear"/>
            <w:tcMar>
              <w:top w:type="dxa" w:w="80"/>
              <w:left w:type="dxa" w:w="100"/>
              <w:bottom w:type="dxa" w:w="80"/>
              <w:right w:type="dxa" w:w="100"/>
            </w:tcMar>
          </w:tcPr>
          <w:p>
            <w:pPr>
              <w:spacing w:after="0" w:line="240"/>
            </w:pPr>
            <w:r>
              <w:rPr>
                <w:sz w:val="17"/>
                <w:szCs w:val="17"/>
              </w:rPr>
              <w:t xml:space="preserve">≤ AED 0.29</w:t>
            </w:r>
          </w:p>
        </w:tc>
        <w:tc>
          <w:tcPr>
            <w:tcW w:type="dxa" w:w="1750"/>
            <w:shd w:fill="F5F1E8" w:val="clear"/>
            <w:tcMar>
              <w:top w:type="dxa" w:w="80"/>
              <w:left w:type="dxa" w:w="100"/>
              <w:bottom w:type="dxa" w:w="80"/>
              <w:right w:type="dxa" w:w="100"/>
            </w:tcMar>
          </w:tcPr>
          <w:p>
            <w:pPr>
              <w:spacing w:after="0" w:line="240"/>
            </w:pPr>
            <w:r>
              <w:rPr>
                <w:sz w:val="17"/>
                <w:szCs w:val="17"/>
              </w:rPr>
              <w:t xml:space="preserve">Ireland €0.053 direct / €0.071 all-in year 1 (R7, citing R4)</w:t>
            </w:r>
          </w:p>
        </w:tc>
      </w:tr>
      <w:tr>
        <w:tc>
          <w:tcPr>
            <w:tcW w:type="dxa" w:w="1747"/>
            <w:shd w:fill="FFFFFF" w:val="clear"/>
            <w:tcMar>
              <w:top w:type="dxa" w:w="80"/>
              <w:left w:type="dxa" w:w="100"/>
              <w:bottom w:type="dxa" w:w="80"/>
              <w:right w:type="dxa" w:w="100"/>
            </w:tcMar>
          </w:tcPr>
          <w:p>
            <w:pPr>
              <w:spacing w:after="0" w:line="240"/>
            </w:pPr>
            <w:r>
              <w:rPr>
                <w:b/>
                <w:bCs/>
                <w:sz w:val="17"/>
                <w:szCs w:val="17"/>
              </w:rPr>
              <w:t xml:space="preserve">Material purity</w:t>
            </w:r>
          </w:p>
        </w:tc>
        <w:tc>
          <w:tcPr>
            <w:tcW w:type="dxa" w:w="1747"/>
            <w:shd w:fill="FFFFFF" w:val="clear"/>
            <w:tcMar>
              <w:top w:type="dxa" w:w="80"/>
              <w:left w:type="dxa" w:w="100"/>
              <w:bottom w:type="dxa" w:w="80"/>
              <w:right w:type="dxa" w:w="100"/>
            </w:tcMar>
          </w:tcPr>
          <w:p>
            <w:pPr>
              <w:spacing w:after="0" w:line="240"/>
            </w:pPr>
            <w:r>
              <w:rPr>
                <w:sz w:val="17"/>
                <w:szCs w:val="17"/>
              </w:rPr>
              <w:t xml:space="preserve">Contamination rate of DRS bales by material</w:t>
            </w:r>
          </w:p>
        </w:tc>
        <w:tc>
          <w:tcPr>
            <w:tcW w:type="dxa" w:w="1747"/>
            <w:shd w:fill="FFFFFF" w:val="clear"/>
            <w:tcMar>
              <w:top w:type="dxa" w:w="80"/>
              <w:left w:type="dxa" w:w="100"/>
              <w:bottom w:type="dxa" w:w="80"/>
              <w:right w:type="dxa" w:w="100"/>
            </w:tcMar>
          </w:tcPr>
          <w:p>
            <w:pPr>
              <w:spacing w:after="0" w:line="240"/>
            </w:pPr>
            <w:r>
              <w:rPr>
                <w:sz w:val="17"/>
                <w:szCs w:val="17"/>
              </w:rPr>
              <w:t xml:space="preserve">≤ 3%</w:t>
            </w:r>
          </w:p>
        </w:tc>
        <w:tc>
          <w:tcPr>
            <w:tcW w:type="dxa" w:w="1747"/>
            <w:shd w:fill="FFFFFF" w:val="clear"/>
            <w:tcMar>
              <w:top w:type="dxa" w:w="80"/>
              <w:left w:type="dxa" w:w="100"/>
              <w:bottom w:type="dxa" w:w="80"/>
              <w:right w:type="dxa" w:w="100"/>
            </w:tcMar>
          </w:tcPr>
          <w:p>
            <w:pPr>
              <w:spacing w:after="0" w:line="240"/>
            </w:pPr>
            <w:r>
              <w:rPr>
                <w:sz w:val="17"/>
                <w:szCs w:val="17"/>
              </w:rPr>
              <w:t xml:space="preserve">≤ 2%</w:t>
            </w:r>
          </w:p>
        </w:tc>
        <w:tc>
          <w:tcPr>
            <w:tcW w:type="dxa" w:w="1750"/>
            <w:shd w:fill="FFFFFF" w:val="clear"/>
            <w:tcMar>
              <w:top w:type="dxa" w:w="80"/>
              <w:left w:type="dxa" w:w="100"/>
              <w:bottom w:type="dxa" w:w="80"/>
              <w:right w:type="dxa" w:w="100"/>
            </w:tcMar>
          </w:tcPr>
          <w:p>
            <w:pPr>
              <w:spacing w:after="0" w:line="240"/>
            </w:pPr>
            <w:r>
              <w:rPr>
                <w:sz w:val="17"/>
                <w:szCs w:val="17"/>
              </w:rPr>
              <w:t xml:space="preserve">DRS streams "very pure"; premium pricing vs Green Dot stream (USAD, 2019)</w:t>
            </w:r>
          </w:p>
        </w:tc>
      </w:tr>
      <w:tr>
        <w:tc>
          <w:tcPr>
            <w:tcW w:type="dxa" w:w="1747"/>
            <w:shd w:fill="F5F1E8" w:val="clear"/>
            <w:tcMar>
              <w:top w:type="dxa" w:w="80"/>
              <w:left w:type="dxa" w:w="100"/>
              <w:bottom w:type="dxa" w:w="80"/>
              <w:right w:type="dxa" w:w="100"/>
            </w:tcMar>
          </w:tcPr>
          <w:p>
            <w:pPr>
              <w:spacing w:after="0" w:line="240"/>
            </w:pPr>
            <w:r>
              <w:rPr>
                <w:b/>
                <w:bCs/>
                <w:sz w:val="17"/>
                <w:szCs w:val="17"/>
              </w:rPr>
              <w:t xml:space="preserve">Litter reduction</w:t>
            </w:r>
          </w:p>
        </w:tc>
        <w:tc>
          <w:tcPr>
            <w:tcW w:type="dxa" w:w="1747"/>
            <w:shd w:fill="F5F1E8" w:val="clear"/>
            <w:tcMar>
              <w:top w:type="dxa" w:w="80"/>
              <w:left w:type="dxa" w:w="100"/>
              <w:bottom w:type="dxa" w:w="80"/>
              <w:right w:type="dxa" w:w="100"/>
            </w:tcMar>
          </w:tcPr>
          <w:p>
            <w:pPr>
              <w:spacing w:after="0" w:line="240"/>
            </w:pPr>
            <w:r>
              <w:rPr>
                <w:sz w:val="17"/>
                <w:szCs w:val="17"/>
              </w:rPr>
              <w:t xml:space="preserve">Beverage-container share of litter (annual litter survey)</w:t>
            </w:r>
          </w:p>
        </w:tc>
        <w:tc>
          <w:tcPr>
            <w:tcW w:type="dxa" w:w="1747"/>
            <w:shd w:fill="F5F1E8" w:val="clear"/>
            <w:tcMar>
              <w:top w:type="dxa" w:w="80"/>
              <w:left w:type="dxa" w:w="100"/>
              <w:bottom w:type="dxa" w:w="80"/>
              <w:right w:type="dxa" w:w="100"/>
            </w:tcMar>
          </w:tcPr>
          <w:p>
            <w:pPr>
              <w:spacing w:after="0" w:line="240"/>
            </w:pPr>
            <w:r>
              <w:rPr>
                <w:sz w:val="17"/>
                <w:szCs w:val="17"/>
              </w:rPr>
              <w:t xml:space="preserve">−30% vs 2027 baseline</w:t>
            </w:r>
          </w:p>
        </w:tc>
        <w:tc>
          <w:tcPr>
            <w:tcW w:type="dxa" w:w="1747"/>
            <w:shd w:fill="F5F1E8" w:val="clear"/>
            <w:tcMar>
              <w:top w:type="dxa" w:w="80"/>
              <w:left w:type="dxa" w:w="100"/>
              <w:bottom w:type="dxa" w:w="80"/>
              <w:right w:type="dxa" w:w="100"/>
            </w:tcMar>
          </w:tcPr>
          <w:p>
            <w:pPr>
              <w:spacing w:after="0" w:line="240"/>
            </w:pPr>
            <w:r>
              <w:rPr>
                <w:sz w:val="17"/>
                <w:szCs w:val="17"/>
              </w:rPr>
              <w:t xml:space="preserve">−70%</w:t>
            </w:r>
          </w:p>
        </w:tc>
        <w:tc>
          <w:tcPr>
            <w:tcW w:type="dxa" w:w="1750"/>
            <w:shd w:fill="F5F1E8" w:val="clear"/>
            <w:tcMar>
              <w:top w:type="dxa" w:w="80"/>
              <w:left w:type="dxa" w:w="100"/>
              <w:bottom w:type="dxa" w:w="80"/>
              <w:right w:type="dxa" w:w="100"/>
            </w:tcMar>
          </w:tcPr>
          <w:p>
            <w:pPr>
              <w:spacing w:after="0" w:line="240"/>
            </w:pPr>
            <w:r>
              <w:rPr>
                <w:sz w:val="17"/>
                <w:szCs w:val="17"/>
              </w:rPr>
              <w:t xml:space="preserve">90% of Lithuanians report visibly less litter (USAD, 2019)</w:t>
            </w:r>
          </w:p>
        </w:tc>
      </w:tr>
      <w:tr>
        <w:tc>
          <w:tcPr>
            <w:tcW w:type="dxa" w:w="1747"/>
            <w:shd w:fill="FFFFFF" w:val="clear"/>
            <w:tcMar>
              <w:top w:type="dxa" w:w="80"/>
              <w:left w:type="dxa" w:w="100"/>
              <w:bottom w:type="dxa" w:w="80"/>
              <w:right w:type="dxa" w:w="100"/>
            </w:tcMar>
          </w:tcPr>
          <w:p>
            <w:pPr>
              <w:spacing w:after="0" w:line="240"/>
            </w:pPr>
            <w:r>
              <w:rPr>
                <w:b/>
                <w:bCs/>
                <w:sz w:val="17"/>
                <w:szCs w:val="17"/>
              </w:rPr>
              <w:t xml:space="preserve">Jobs created</w:t>
            </w:r>
          </w:p>
        </w:tc>
        <w:tc>
          <w:tcPr>
            <w:tcW w:type="dxa" w:w="1747"/>
            <w:shd w:fill="FFFFFF" w:val="clear"/>
            <w:tcMar>
              <w:top w:type="dxa" w:w="80"/>
              <w:left w:type="dxa" w:w="100"/>
              <w:bottom w:type="dxa" w:w="80"/>
              <w:right w:type="dxa" w:w="100"/>
            </w:tcMar>
          </w:tcPr>
          <w:p>
            <w:pPr>
              <w:spacing w:after="0" w:line="240"/>
            </w:pPr>
            <w:r>
              <w:rPr>
                <w:sz w:val="17"/>
                <w:szCs w:val="17"/>
              </w:rPr>
              <w:t xml:space="preserve">Direct SPV + logistics/indirect FTEs</w:t>
            </w:r>
          </w:p>
        </w:tc>
        <w:tc>
          <w:tcPr>
            <w:tcW w:type="dxa" w:w="1747"/>
            <w:shd w:fill="FFFFFF" w:val="clear"/>
            <w:tcMar>
              <w:top w:type="dxa" w:w="80"/>
              <w:left w:type="dxa" w:w="100"/>
              <w:bottom w:type="dxa" w:w="80"/>
              <w:right w:type="dxa" w:w="100"/>
            </w:tcMar>
          </w:tcPr>
          <w:p>
            <w:pPr>
              <w:spacing w:after="0" w:line="240"/>
            </w:pPr>
            <w:r>
              <w:rPr>
                <w:sz w:val="17"/>
                <w:szCs w:val="17"/>
              </w:rPr>
              <w:t xml:space="preserve">~800</w:t>
            </w:r>
          </w:p>
        </w:tc>
        <w:tc>
          <w:tcPr>
            <w:tcW w:type="dxa" w:w="1747"/>
            <w:shd w:fill="FFFFFF" w:val="clear"/>
            <w:tcMar>
              <w:top w:type="dxa" w:w="80"/>
              <w:left w:type="dxa" w:w="100"/>
              <w:bottom w:type="dxa" w:w="80"/>
              <w:right w:type="dxa" w:w="100"/>
            </w:tcMar>
          </w:tcPr>
          <w:p>
            <w:pPr>
              <w:spacing w:after="0" w:line="240"/>
            </w:pPr>
            <w:r>
              <w:rPr>
                <w:b/>
                <w:bCs/>
                <w:sz w:val="17"/>
                <w:szCs w:val="17"/>
              </w:rPr>
              <w:t xml:space="preserve">~1,200-1,500</w:t>
            </w:r>
          </w:p>
        </w:tc>
        <w:tc>
          <w:tcPr>
            <w:tcW w:type="dxa" w:w="1750"/>
            <w:shd w:fill="FFFFFF" w:val="clear"/>
            <w:tcMar>
              <w:top w:type="dxa" w:w="80"/>
              <w:left w:type="dxa" w:w="100"/>
              <w:bottom w:type="dxa" w:w="80"/>
              <w:right w:type="dxa" w:w="100"/>
            </w:tcMar>
          </w:tcPr>
          <w:p>
            <w:pPr>
              <w:spacing w:after="0" w:line="240"/>
            </w:pPr>
            <w:r>
              <w:rPr>
                <w:sz w:val="17"/>
                <w:szCs w:val="17"/>
              </w:rPr>
              <w:t xml:space="preserve">Romania 800+ direct for ~7bn-unit system (R7, citing R4)</w:t>
            </w:r>
          </w:p>
        </w:tc>
      </w:tr>
      <w:tr>
        <w:tc>
          <w:tcPr>
            <w:tcW w:type="dxa" w:w="1747"/>
            <w:shd w:fill="F5F1E8" w:val="clear"/>
            <w:tcMar>
              <w:top w:type="dxa" w:w="80"/>
              <w:left w:type="dxa" w:w="100"/>
              <w:bottom w:type="dxa" w:w="80"/>
              <w:right w:type="dxa" w:w="100"/>
            </w:tcMar>
          </w:tcPr>
          <w:p>
            <w:pPr>
              <w:spacing w:after="0" w:line="240"/>
            </w:pPr>
            <w:r>
              <w:rPr>
                <w:b/>
                <w:bCs/>
                <w:sz w:val="17"/>
                <w:szCs w:val="17"/>
              </w:rPr>
              <w:t xml:space="preserve">Network density</w:t>
            </w:r>
          </w:p>
        </w:tc>
        <w:tc>
          <w:tcPr>
            <w:tcW w:type="dxa" w:w="1747"/>
            <w:shd w:fill="F5F1E8" w:val="clear"/>
            <w:tcMar>
              <w:top w:type="dxa" w:w="80"/>
              <w:left w:type="dxa" w:w="100"/>
              <w:bottom w:type="dxa" w:w="80"/>
              <w:right w:type="dxa" w:w="100"/>
            </w:tcMar>
          </w:tcPr>
          <w:p>
            <w:pPr>
              <w:spacing w:after="0" w:line="240"/>
            </w:pPr>
            <w:r>
              <w:rPr>
                <w:sz w:val="17"/>
                <w:szCs w:val="17"/>
              </w:rPr>
              <w:t xml:space="preserve">People per return point</w:t>
            </w:r>
          </w:p>
        </w:tc>
        <w:tc>
          <w:tcPr>
            <w:tcW w:type="dxa" w:w="1747"/>
            <w:shd w:fill="F5F1E8" w:val="clear"/>
            <w:tcMar>
              <w:top w:type="dxa" w:w="80"/>
              <w:left w:type="dxa" w:w="100"/>
              <w:bottom w:type="dxa" w:w="80"/>
              <w:right w:type="dxa" w:w="100"/>
            </w:tcMar>
          </w:tcPr>
          <w:p>
            <w:pPr>
              <w:spacing w:after="0" w:line="240"/>
            </w:pPr>
            <w:r>
              <w:rPr>
                <w:sz w:val="17"/>
                <w:szCs w:val="17"/>
              </w:rPr>
              <w:t xml:space="preserve">≤ 1,500</w:t>
            </w:r>
          </w:p>
        </w:tc>
        <w:tc>
          <w:tcPr>
            <w:tcW w:type="dxa" w:w="1747"/>
            <w:shd w:fill="F5F1E8" w:val="clear"/>
            <w:tcMar>
              <w:top w:type="dxa" w:w="80"/>
              <w:left w:type="dxa" w:w="100"/>
              <w:bottom w:type="dxa" w:w="80"/>
              <w:right w:type="dxa" w:w="100"/>
            </w:tcMar>
          </w:tcPr>
          <w:p>
            <w:pPr>
              <w:spacing w:after="0" w:line="240"/>
            </w:pPr>
            <w:r>
              <w:rPr>
                <w:sz w:val="17"/>
                <w:szCs w:val="17"/>
              </w:rPr>
              <w:t xml:space="preserve">≤ 1,250</w:t>
            </w:r>
          </w:p>
        </w:tc>
        <w:tc>
          <w:tcPr>
            <w:tcW w:type="dxa" w:w="1750"/>
            <w:shd w:fill="F5F1E8" w:val="clear"/>
            <w:tcMar>
              <w:top w:type="dxa" w:w="80"/>
              <w:left w:type="dxa" w:w="100"/>
              <w:bottom w:type="dxa" w:w="80"/>
              <w:right w:type="dxa" w:w="100"/>
            </w:tcMar>
          </w:tcPr>
          <w:p>
            <w:pPr>
              <w:spacing w:after="0" w:line="240"/>
            </w:pPr>
            <w:r>
              <w:rPr>
                <w:sz w:val="17"/>
                <w:szCs w:val="17"/>
              </w:rPr>
              <w:t xml:space="preserve">Best performers cluster &lt;1,000-1,500 (Reloop GDB, 2024)</w:t>
            </w:r>
          </w:p>
        </w:tc>
      </w:tr>
      <w:tr>
        <w:tc>
          <w:tcPr>
            <w:tcW w:type="dxa" w:w="1747"/>
            <w:shd w:fill="FFFFFF" w:val="clear"/>
            <w:tcMar>
              <w:top w:type="dxa" w:w="80"/>
              <w:left w:type="dxa" w:w="100"/>
              <w:bottom w:type="dxa" w:w="80"/>
              <w:right w:type="dxa" w:w="100"/>
            </w:tcMar>
          </w:tcPr>
          <w:p>
            <w:pPr>
              <w:spacing w:after="0" w:line="240"/>
            </w:pPr>
            <w:r>
              <w:rPr>
                <w:b/>
                <w:bCs/>
                <w:sz w:val="17"/>
                <w:szCs w:val="17"/>
              </w:rPr>
              <w:t xml:space="preserve">Refund convenience</w:t>
            </w:r>
          </w:p>
        </w:tc>
        <w:tc>
          <w:tcPr>
            <w:tcW w:type="dxa" w:w="1747"/>
            <w:shd w:fill="FFFFFF" w:val="clear"/>
            <w:tcMar>
              <w:top w:type="dxa" w:w="80"/>
              <w:left w:type="dxa" w:w="100"/>
              <w:bottom w:type="dxa" w:w="80"/>
              <w:right w:type="dxa" w:w="100"/>
            </w:tcMar>
          </w:tcPr>
          <w:p>
            <w:pPr>
              <w:spacing w:after="0" w:line="240"/>
            </w:pPr>
            <w:r>
              <w:rPr>
                <w:sz w:val="17"/>
                <w:szCs w:val="17"/>
              </w:rPr>
              <w:t xml:space="preserve">% refunds completed &lt;60 seconds; % digital refunds</w:t>
            </w:r>
          </w:p>
        </w:tc>
        <w:tc>
          <w:tcPr>
            <w:tcW w:type="dxa" w:w="1747"/>
            <w:shd w:fill="FFFFFF" w:val="clear"/>
            <w:tcMar>
              <w:top w:type="dxa" w:w="80"/>
              <w:left w:type="dxa" w:w="100"/>
              <w:bottom w:type="dxa" w:w="80"/>
              <w:right w:type="dxa" w:w="100"/>
            </w:tcMar>
          </w:tcPr>
          <w:p>
            <w:pPr>
              <w:spacing w:after="0" w:line="240"/>
            </w:pPr>
            <w:r>
              <w:rPr>
                <w:sz w:val="17"/>
                <w:szCs w:val="17"/>
              </w:rPr>
              <w:t xml:space="preserve">≥ 95% / ≥ 40%</w:t>
            </w:r>
          </w:p>
        </w:tc>
        <w:tc>
          <w:tcPr>
            <w:tcW w:type="dxa" w:w="1747"/>
            <w:shd w:fill="FFFFFF" w:val="clear"/>
            <w:tcMar>
              <w:top w:type="dxa" w:w="80"/>
              <w:left w:type="dxa" w:w="100"/>
              <w:bottom w:type="dxa" w:w="80"/>
              <w:right w:type="dxa" w:w="100"/>
            </w:tcMar>
          </w:tcPr>
          <w:p>
            <w:pPr>
              <w:spacing w:after="0" w:line="240"/>
            </w:pPr>
            <w:r>
              <w:rPr>
                <w:sz w:val="17"/>
                <w:szCs w:val="17"/>
              </w:rPr>
              <w:t xml:space="preserve">≥ 98% / ≥ 60%</w:t>
            </w:r>
          </w:p>
        </w:tc>
        <w:tc>
          <w:tcPr>
            <w:tcW w:type="dxa" w:w="1750"/>
            <w:shd w:fill="FFFFFF" w:val="clear"/>
            <w:tcMar>
              <w:top w:type="dxa" w:w="80"/>
              <w:left w:type="dxa" w:w="100"/>
              <w:bottom w:type="dxa" w:w="80"/>
              <w:right w:type="dxa" w:w="100"/>
            </w:tcMar>
          </w:tcPr>
          <w:p>
            <w:pPr>
              <w:spacing w:after="0" w:line="240"/>
            </w:pPr>
            <w:r>
              <w:rPr>
                <w:sz w:val="17"/>
                <w:szCs w:val="17"/>
              </w:rPr>
              <w:t xml:space="preserve">Hungary: &gt;80% of refunds taken as vouchers (Reloop GDB, 2024)</w:t>
            </w:r>
          </w:p>
        </w:tc>
      </w:tr>
      <w:tr>
        <w:tc>
          <w:tcPr>
            <w:tcW w:type="dxa" w:w="1747"/>
            <w:shd w:fill="F5F1E8" w:val="clear"/>
            <w:tcMar>
              <w:top w:type="dxa" w:w="80"/>
              <w:left w:type="dxa" w:w="100"/>
              <w:bottom w:type="dxa" w:w="80"/>
              <w:right w:type="dxa" w:w="100"/>
            </w:tcMar>
          </w:tcPr>
          <w:p>
            <w:pPr>
              <w:spacing w:after="0" w:line="240"/>
            </w:pPr>
            <w:r>
              <w:rPr>
                <w:b/>
                <w:bCs/>
                <w:sz w:val="17"/>
                <w:szCs w:val="17"/>
              </w:rPr>
              <w:t xml:space="preserve">CO₂ avoided</w:t>
            </w:r>
          </w:p>
        </w:tc>
        <w:tc>
          <w:tcPr>
            <w:tcW w:type="dxa" w:w="1747"/>
            <w:shd w:fill="F5F1E8" w:val="clear"/>
            <w:tcMar>
              <w:top w:type="dxa" w:w="80"/>
              <w:left w:type="dxa" w:w="100"/>
              <w:bottom w:type="dxa" w:w="80"/>
              <w:right w:type="dxa" w:w="100"/>
            </w:tcMar>
          </w:tcPr>
          <w:p>
            <w:pPr>
              <w:spacing w:after="0" w:line="240"/>
            </w:pPr>
            <w:r>
              <w:rPr>
                <w:sz w:val="17"/>
                <w:szCs w:val="17"/>
              </w:rPr>
              <w:t xml:space="preserve">Tonnes CO₂e vs landfill/incineration baseline</w:t>
            </w:r>
          </w:p>
        </w:tc>
        <w:tc>
          <w:tcPr>
            <w:tcW w:type="dxa" w:w="1747"/>
            <w:shd w:fill="F5F1E8" w:val="clear"/>
            <w:tcMar>
              <w:top w:type="dxa" w:w="80"/>
              <w:left w:type="dxa" w:w="100"/>
              <w:bottom w:type="dxa" w:w="80"/>
              <w:right w:type="dxa" w:w="100"/>
            </w:tcMar>
          </w:tcPr>
          <w:p>
            <w:pPr>
              <w:spacing w:after="0" w:line="240"/>
            </w:pPr>
            <w:r>
              <w:rPr>
                <w:sz w:val="17"/>
                <w:szCs w:val="17"/>
              </w:rPr>
              <w:t xml:space="preserve">Reported</w:t>
            </w:r>
          </w:p>
        </w:tc>
        <w:tc>
          <w:tcPr>
            <w:tcW w:type="dxa" w:w="1747"/>
            <w:shd w:fill="F5F1E8" w:val="clear"/>
            <w:tcMar>
              <w:top w:type="dxa" w:w="80"/>
              <w:left w:type="dxa" w:w="100"/>
              <w:bottom w:type="dxa" w:w="80"/>
              <w:right w:type="dxa" w:w="100"/>
            </w:tcMar>
          </w:tcPr>
          <w:p>
            <w:pPr>
              <w:spacing w:after="0" w:line="240"/>
            </w:pPr>
            <w:r>
              <w:rPr>
                <w:sz w:val="17"/>
                <w:szCs w:val="17"/>
              </w:rPr>
              <w:t xml:space="preserve">Reported</w:t>
            </w:r>
          </w:p>
        </w:tc>
        <w:tc>
          <w:tcPr>
            <w:tcW w:type="dxa" w:w="1750"/>
            <w:shd w:fill="F5F1E8" w:val="clear"/>
            <w:tcMar>
              <w:top w:type="dxa" w:w="80"/>
              <w:left w:type="dxa" w:w="100"/>
              <w:bottom w:type="dxa" w:w="80"/>
              <w:right w:type="dxa" w:w="100"/>
            </w:tcMar>
          </w:tcPr>
          <w:p>
            <w:pPr>
              <w:spacing w:after="0" w:line="240"/>
            </w:pPr>
            <w:r>
              <w:rPr>
                <w:sz w:val="17"/>
                <w:szCs w:val="17"/>
              </w:rPr>
              <w:t xml:space="preserve">Lithuania 152,400 t since launch (USAD, 2019); feeds NDC 3.0 (−47% by 2035) (UNFCCC, 2024)</w:t>
            </w:r>
          </w:p>
        </w:tc>
      </w:tr>
      <w:tr>
        <w:tc>
          <w:tcPr>
            <w:tcW w:type="dxa" w:w="1747"/>
            <w:shd w:fill="FFFFFF" w:val="clear"/>
            <w:tcMar>
              <w:top w:type="dxa" w:w="80"/>
              <w:left w:type="dxa" w:w="100"/>
              <w:bottom w:type="dxa" w:w="80"/>
              <w:right w:type="dxa" w:w="100"/>
            </w:tcMar>
          </w:tcPr>
          <w:p>
            <w:pPr>
              <w:spacing w:after="0" w:line="240"/>
            </w:pPr>
            <w:r>
              <w:rPr>
                <w:b/>
                <w:bCs/>
                <w:sz w:val="17"/>
                <w:szCs w:val="17"/>
              </w:rPr>
              <w:t xml:space="preserve">Escrow integrity</w:t>
            </w:r>
          </w:p>
        </w:tc>
        <w:tc>
          <w:tcPr>
            <w:tcW w:type="dxa" w:w="1747"/>
            <w:shd w:fill="FFFFFF" w:val="clear"/>
            <w:tcMar>
              <w:top w:type="dxa" w:w="80"/>
              <w:left w:type="dxa" w:w="100"/>
              <w:bottom w:type="dxa" w:w="80"/>
              <w:right w:type="dxa" w:w="100"/>
            </w:tcMar>
          </w:tcPr>
          <w:p>
            <w:pPr>
              <w:spacing w:after="0" w:line="240"/>
            </w:pPr>
            <w:r>
              <w:rPr>
                <w:sz w:val="17"/>
                <w:szCs w:val="17"/>
              </w:rPr>
              <w:t xml:space="preserve">Unqualified independent audit of deposit escrow</w:t>
            </w:r>
          </w:p>
        </w:tc>
        <w:tc>
          <w:tcPr>
            <w:tcW w:type="dxa" w:w="1747"/>
            <w:shd w:fill="FFFFFF" w:val="clear"/>
            <w:tcMar>
              <w:top w:type="dxa" w:w="80"/>
              <w:left w:type="dxa" w:w="100"/>
              <w:bottom w:type="dxa" w:w="80"/>
              <w:right w:type="dxa" w:w="100"/>
            </w:tcMar>
          </w:tcPr>
          <w:p>
            <w:pPr>
              <w:spacing w:after="0" w:line="240"/>
            </w:pPr>
            <w:r>
              <w:rPr>
                <w:sz w:val="17"/>
                <w:szCs w:val="17"/>
              </w:rPr>
              <w:t xml:space="preserve">Annual, unqualified</w:t>
            </w:r>
          </w:p>
        </w:tc>
        <w:tc>
          <w:tcPr>
            <w:tcW w:type="dxa" w:w="1747"/>
            <w:shd w:fill="FFFFFF" w:val="clear"/>
            <w:tcMar>
              <w:top w:type="dxa" w:w="80"/>
              <w:left w:type="dxa" w:w="100"/>
              <w:bottom w:type="dxa" w:w="80"/>
              <w:right w:type="dxa" w:w="100"/>
            </w:tcMar>
          </w:tcPr>
          <w:p>
            <w:pPr>
              <w:spacing w:after="0" w:line="240"/>
            </w:pPr>
            <w:r>
              <w:rPr>
                <w:sz w:val="17"/>
                <w:szCs w:val="17"/>
              </w:rPr>
              <w:t xml:space="preserve">Annual, unqualified</w:t>
            </w:r>
          </w:p>
        </w:tc>
        <w:tc>
          <w:tcPr>
            <w:tcW w:type="dxa" w:w="1750"/>
            <w:shd w:fill="FFFFFF" w:val="clear"/>
            <w:tcMar>
              <w:top w:type="dxa" w:w="80"/>
              <w:left w:type="dxa" w:w="100"/>
              <w:bottom w:type="dxa" w:w="80"/>
              <w:right w:type="dxa" w:w="100"/>
            </w:tcMar>
          </w:tcPr>
          <w:p>
            <w:pPr>
              <w:spacing w:after="0" w:line="240"/>
            </w:pPr>
            <w:r>
              <w:rPr>
                <w:sz w:val="17"/>
                <w:szCs w:val="17"/>
              </w:rPr>
              <w:t xml:space="preserve">Slovakia "transparent account" model (R7, citing R4)</w:t>
            </w:r>
          </w:p>
        </w:tc>
      </w:tr>
      <w:tr>
        <w:tc>
          <w:tcPr>
            <w:tcW w:type="dxa" w:w="1747"/>
            <w:shd w:fill="F5F1E8" w:val="clear"/>
            <w:tcMar>
              <w:top w:type="dxa" w:w="80"/>
              <w:left w:type="dxa" w:w="100"/>
              <w:bottom w:type="dxa" w:w="80"/>
              <w:right w:type="dxa" w:w="100"/>
            </w:tcMar>
          </w:tcPr>
          <w:p>
            <w:pPr>
              <w:spacing w:after="0" w:line="240"/>
            </w:pPr>
            <w:r>
              <w:rPr>
                <w:b/>
                <w:bCs/>
                <w:sz w:val="17"/>
                <w:szCs w:val="17"/>
              </w:rPr>
              <w:t xml:space="preserve">Producer compliance</w:t>
            </w:r>
          </w:p>
        </w:tc>
        <w:tc>
          <w:tcPr>
            <w:tcW w:type="dxa" w:w="1747"/>
            <w:shd w:fill="F5F1E8" w:val="clear"/>
            <w:tcMar>
              <w:top w:type="dxa" w:w="80"/>
              <w:left w:type="dxa" w:w="100"/>
              <w:bottom w:type="dxa" w:w="80"/>
              <w:right w:type="dxa" w:w="100"/>
            </w:tcMar>
          </w:tcPr>
          <w:p>
            <w:pPr>
              <w:spacing w:after="0" w:line="240"/>
            </w:pPr>
            <w:r>
              <w:rPr>
                <w:sz w:val="17"/>
                <w:szCs w:val="17"/>
              </w:rPr>
              <w:t xml:space="preserve">% of POM units from registered producers</w:t>
            </w:r>
          </w:p>
        </w:tc>
        <w:tc>
          <w:tcPr>
            <w:tcW w:type="dxa" w:w="1747"/>
            <w:shd w:fill="F5F1E8" w:val="clear"/>
            <w:tcMar>
              <w:top w:type="dxa" w:w="80"/>
              <w:left w:type="dxa" w:w="100"/>
              <w:bottom w:type="dxa" w:w="80"/>
              <w:right w:type="dxa" w:w="100"/>
            </w:tcMar>
          </w:tcPr>
          <w:p>
            <w:pPr>
              <w:spacing w:after="0" w:line="240"/>
            </w:pPr>
            <w:r>
              <w:rPr>
                <w:sz w:val="17"/>
                <w:szCs w:val="17"/>
              </w:rPr>
              <w:t xml:space="preserve">≥ 95%</w:t>
            </w:r>
          </w:p>
        </w:tc>
        <w:tc>
          <w:tcPr>
            <w:tcW w:type="dxa" w:w="1747"/>
            <w:shd w:fill="F5F1E8" w:val="clear"/>
            <w:tcMar>
              <w:top w:type="dxa" w:w="80"/>
              <w:left w:type="dxa" w:w="100"/>
              <w:bottom w:type="dxa" w:w="80"/>
              <w:right w:type="dxa" w:w="100"/>
            </w:tcMar>
          </w:tcPr>
          <w:p>
            <w:pPr>
              <w:spacing w:after="0" w:line="240"/>
            </w:pPr>
            <w:r>
              <w:rPr>
                <w:sz w:val="17"/>
                <w:szCs w:val="17"/>
              </w:rPr>
              <w:t xml:space="preserve">≥ 99%</w:t>
            </w:r>
          </w:p>
        </w:tc>
        <w:tc>
          <w:tcPr>
            <w:tcW w:type="dxa" w:w="1750"/>
            <w:shd w:fill="F5F1E8" w:val="clear"/>
            <w:tcMar>
              <w:top w:type="dxa" w:w="80"/>
              <w:left w:type="dxa" w:w="100"/>
              <w:bottom w:type="dxa" w:w="80"/>
              <w:right w:type="dxa" w:w="100"/>
            </w:tcMar>
          </w:tcPr>
          <w:p>
            <w:pPr>
              <w:spacing w:after="0" w:line="240"/>
            </w:pPr>
            <w:r>
              <w:rPr>
                <w:sz w:val="17"/>
                <w:szCs w:val="17"/>
              </w:rPr>
              <w:t xml:space="preserve">Centralised registration standard (Reloop GDB, 2024)</w:t>
            </w:r>
          </w:p>
        </w:tc>
      </w:tr>
    </w:tbl>
    <w:p>
      <w:pPr>
        <w:spacing w:after="200"/>
      </w:pPr>
      <w:r>
        <w:rPr>
          <w:sz w:val="8"/>
          <w:szCs w:val="8"/>
        </w:rPr>
        <w:t xml:space="preserve"/>
      </w:r>
    </w:p>
    <w:p>
      <w:pPr>
        <w:pStyle w:val="Heading3"/>
        <w:keepNext/>
        <w:spacing w:after="110" w:before="260"/>
      </w:pPr>
      <w:r>
        <w:rPr>
          <w:rFonts w:ascii="Calibri" w:cs="Calibri" w:eastAsia="Calibri" w:hAnsi="Calibri"/>
          <w:b/>
          <w:bCs/>
          <w:color w:val="4A6580"/>
          <w:sz w:val="24"/>
          <w:szCs w:val="24"/>
        </w:rPr>
        <w:t xml:space="preserve">MRV protocol for ministry reporting</w:t>
      </w:r>
    </w:p>
    <w:p>
      <w:pPr>
        <w:spacing w:after="160" w:line="300"/>
        <w:jc w:val="both"/>
      </w:pPr>
      <w:r>
        <w:t xml:space="preserve">The DRS's monitoring, reporting and verification stack should be designed once, to serve three masters - the DRS regulator, the EPR framework, and the Climate Change Law (Federal Decree-Law No. 11 of 2024):</w:t>
      </w:r>
    </w:p>
    <w:p>
      <w:pPr>
        <w:spacing w:after="90" w:line="290"/>
        <w:ind w:left="380" w:hanging="180"/>
      </w:pPr>
      <w:r>
        <w:rPr>
          <w:b/>
          <w:bCs/>
          <w:color w:val="1B2A4A"/>
        </w:rPr>
        <w:t xml:space="preserve">1. </w:t>
      </w:r>
      <w:r>
        <w:rPr>
          <w:b/>
          <w:bCs/>
        </w:rPr>
        <w:t xml:space="preserve">Measurement.</w:t>
      </w:r>
      <w:r>
        <w:t xml:space="preserve"> Every returned container is counted at machine or counting-centre level by barcode/material; POM is declared by registered producers monthly (Hungary MOHU model, R7). No estimates in the primary data spine.</w:t>
      </w:r>
    </w:p>
    <w:p>
      <w:pPr>
        <w:spacing w:after="90" w:line="290"/>
        <w:ind w:left="380" w:hanging="180"/>
      </w:pPr>
      <w:r>
        <w:rPr>
          <w:b/>
          <w:bCs/>
          <w:color w:val="1B2A4A"/>
        </w:rPr>
        <w:t xml:space="preserve">2. </w:t>
      </w:r>
      <w:r>
        <w:rPr>
          <w:b/>
          <w:bCs/>
        </w:rPr>
        <w:t xml:space="preserve">Reporting.</w:t>
      </w:r>
      <w:r>
        <w:t xml:space="preserve"> DSO publishes quarterly dashboards (return rate by material and emirate, cost per container, network uptime) and an audited annual report; data feeds MOCCAE's EPR compliance registry and the National Agenda for Integrated Waste Management successor framework.</w:t>
      </w:r>
    </w:p>
    <w:p>
      <w:pPr>
        <w:spacing w:after="90" w:line="290"/>
        <w:ind w:left="380" w:hanging="180"/>
      </w:pPr>
      <w:r>
        <w:rPr>
          <w:b/>
          <w:bCs/>
          <w:color w:val="1B2A4A"/>
        </w:rPr>
        <w:t xml:space="preserve">3. </w:t>
      </w:r>
      <w:r>
        <w:rPr>
          <w:b/>
          <w:bCs/>
        </w:rPr>
        <w:t xml:space="preserve">Verification.</w:t>
      </w:r>
      <w:r>
        <w:t xml:space="preserve"> Three independent layers: (i) annual financial &amp; escrow audit; (ii) annual environmental audit (material mass-balance: POM → returns → recycler offtake); (iii) carbon quantification under the Climate Change Law's MRV rules so DRS carbon benefits are monetisable and count toward NDC 3.0 (ESG WISE, 2025; UNFCCC, 2024).</w:t>
      </w:r>
    </w:p>
    <w:p>
      <w:pPr>
        <w:spacing w:after="160" w:line="300"/>
        <w:jc w:val="both"/>
      </w:pPr>
      <w:r>
        <w:t xml:space="preserve">[DATA GAP: Current UAE/emirate beverage-container recycling rates (PET, aluminium, glass) are not publicly reported (R2 §3.2). The litter-reduction and CO₂ KPIs therefore require a funded 2027 baseline study - both a compositional litter survey and a container-flow mass-balance - before launch-year targets can be finalised.]</w:t>
      </w:r>
    </w:p>
    <w:p>
      <w:pPr>
        <w:pStyle w:val="Heading2"/>
        <w:keepNext/>
        <w:spacing w:after="140" w:before="340"/>
      </w:pPr>
      <w:r>
        <w:rPr>
          <w:rFonts w:ascii="Georgia" w:cs="Georgia" w:eastAsia="Georgia" w:hAnsi="Georgia"/>
          <w:b/>
          <w:bCs/>
          <w:color w:val="1B2A4A"/>
          <w:sz w:val="30"/>
          <w:szCs w:val="30"/>
        </w:rPr>
        <w:t xml:space="preserve">9.3 Stakeholder engagement plan</w:t>
      </w:r>
    </w:p>
    <w:p>
      <w:pPr>
        <w:spacing w:after="160" w:line="300"/>
        <w:jc w:val="both"/>
      </w:pPr>
      <w:r>
        <w:t xml:space="preserve">Engagement runs in three waves mapped to the roadmap: </w:t>
      </w:r>
      <w:r>
        <w:rPr>
          <w:b/>
          <w:bCs/>
        </w:rPr>
        <w:t xml:space="preserve">Wave 1 (Phase 0-1):</w:t>
      </w:r>
      <w:r>
        <w:t xml:space="preserve"> policy co-design; </w:t>
      </w:r>
      <w:r>
        <w:rPr>
          <w:b/>
          <w:bCs/>
        </w:rPr>
        <w:t xml:space="preserve">Wave 2 (Phase 2):</w:t>
      </w:r>
      <w:r>
        <w:t xml:space="preserve"> operational onboarding; </w:t>
      </w:r>
      <w:r>
        <w:rPr>
          <w:b/>
          <w:bCs/>
        </w:rPr>
        <w:t xml:space="preserve">Wave 3 (Phase 3+):</w:t>
      </w:r>
      <w:r>
        <w:t xml:space="preserve"> performance partnership.</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2184"/>
        <w:gridCol w:w="2184"/>
        <w:gridCol w:w="2184"/>
        <w:gridCol w:w="2186"/>
      </w:tblGrid>
      <w:tr>
        <w:trPr>
          <w:tblHeader/>
        </w:trPr>
        <w:tc>
          <w:tcPr>
            <w:tcW w:type="dxa" w:w="218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Stakeholder group</w:t>
            </w:r>
          </w:p>
        </w:tc>
        <w:tc>
          <w:tcPr>
            <w:tcW w:type="dxa" w:w="218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Interest / likely position</w:t>
            </w:r>
          </w:p>
        </w:tc>
        <w:tc>
          <w:tcPr>
            <w:tcW w:type="dxa" w:w="218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Engagement approach</w:t>
            </w:r>
          </w:p>
        </w:tc>
        <w:tc>
          <w:tcPr>
            <w:tcW w:type="dxa" w:w="2186"/>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Timing</w:t>
            </w:r>
          </w:p>
        </w:tc>
      </w:tr>
      <w:tr>
        <w:tc>
          <w:tcPr>
            <w:tcW w:type="dxa" w:w="2184"/>
            <w:shd w:fill="FFFFFF" w:val="clear"/>
            <w:tcMar>
              <w:top w:type="dxa" w:w="80"/>
              <w:left w:type="dxa" w:w="100"/>
              <w:bottom w:type="dxa" w:w="80"/>
              <w:right w:type="dxa" w:w="100"/>
            </w:tcMar>
          </w:tcPr>
          <w:p>
            <w:pPr>
              <w:spacing w:after="0" w:line="240"/>
            </w:pPr>
            <w:r>
              <w:rPr>
                <w:b/>
                <w:bCs/>
                <w:sz w:val="17"/>
                <w:szCs w:val="17"/>
              </w:rPr>
              <w:t xml:space="preserve">Producers &amp; bottlers</w:t>
            </w:r>
            <w:r>
              <w:rPr>
                <w:sz w:val="17"/>
                <w:szCs w:val="17"/>
              </w:rPr>
              <w:t xml:space="preserve"> (incl. Coca-Cola Middle East - already sponsoring RVMs with Carrefour/Sparklo, Majid Al Futtaim, 2025)</w:t>
            </w:r>
          </w:p>
        </w:tc>
        <w:tc>
          <w:tcPr>
            <w:tcW w:type="dxa" w:w="2184"/>
            <w:shd w:fill="FFFFFF" w:val="clear"/>
            <w:tcMar>
              <w:top w:type="dxa" w:w="80"/>
              <w:left w:type="dxa" w:w="100"/>
              <w:bottom w:type="dxa" w:w="80"/>
              <w:right w:type="dxa" w:w="100"/>
            </w:tcMar>
          </w:tcPr>
          <w:p>
            <w:pPr>
              <w:spacing w:after="0" w:line="240"/>
            </w:pPr>
            <w:r>
              <w:rPr>
                <w:sz w:val="17"/>
                <w:szCs w:val="17"/>
              </w:rPr>
              <w:t xml:space="preserve">Fee levels; EPR double-charging fear; barcode/artwork transition cost</w:t>
            </w:r>
          </w:p>
        </w:tc>
        <w:tc>
          <w:tcPr>
            <w:tcW w:type="dxa" w:w="2184"/>
            <w:shd w:fill="FFFFFF" w:val="clear"/>
            <w:tcMar>
              <w:top w:type="dxa" w:w="80"/>
              <w:left w:type="dxa" w:w="100"/>
              <w:bottom w:type="dxa" w:w="80"/>
              <w:right w:type="dxa" w:w="100"/>
            </w:tcMar>
          </w:tcPr>
          <w:p>
            <w:pPr>
              <w:spacing w:after="0" w:line="240"/>
            </w:pPr>
            <w:r>
              <w:rPr>
                <w:sz w:val="17"/>
                <w:szCs w:val="17"/>
              </w:rPr>
              <w:t xml:space="preserve">Producers' roundtable under MOET; publish fee methodology early; single-registry EPR integration commitment; 12-month sell-through</w:t>
            </w:r>
          </w:p>
        </w:tc>
        <w:tc>
          <w:tcPr>
            <w:tcW w:type="dxa" w:w="2186"/>
            <w:shd w:fill="FFFFFF" w:val="clear"/>
            <w:tcMar>
              <w:top w:type="dxa" w:w="80"/>
              <w:left w:type="dxa" w:w="100"/>
              <w:bottom w:type="dxa" w:w="80"/>
              <w:right w:type="dxa" w:w="100"/>
            </w:tcMar>
          </w:tcPr>
          <w:p>
            <w:pPr>
              <w:spacing w:after="0" w:line="240"/>
            </w:pPr>
            <w:r>
              <w:rPr>
                <w:sz w:val="17"/>
                <w:szCs w:val="17"/>
              </w:rPr>
              <w:t xml:space="preserve">Wave 1</w:t>
            </w:r>
          </w:p>
        </w:tc>
      </w:tr>
      <w:tr>
        <w:tc>
          <w:tcPr>
            <w:tcW w:type="dxa" w:w="2184"/>
            <w:shd w:fill="F5F1E8" w:val="clear"/>
            <w:tcMar>
              <w:top w:type="dxa" w:w="80"/>
              <w:left w:type="dxa" w:w="100"/>
              <w:bottom w:type="dxa" w:w="80"/>
              <w:right w:type="dxa" w:w="100"/>
            </w:tcMar>
          </w:tcPr>
          <w:p>
            <w:pPr>
              <w:spacing w:after="0" w:line="240"/>
            </w:pPr>
            <w:r>
              <w:rPr>
                <w:b/>
                <w:bCs/>
                <w:sz w:val="17"/>
                <w:szCs w:val="17"/>
              </w:rPr>
              <w:t xml:space="preserve">Importers &amp; distributors</w:t>
            </w:r>
          </w:p>
        </w:tc>
        <w:tc>
          <w:tcPr>
            <w:tcW w:type="dxa" w:w="2184"/>
            <w:shd w:fill="F5F1E8" w:val="clear"/>
            <w:tcMar>
              <w:top w:type="dxa" w:w="80"/>
              <w:left w:type="dxa" w:w="100"/>
              <w:bottom w:type="dxa" w:w="80"/>
              <w:right w:type="dxa" w:w="100"/>
            </w:tcMar>
          </w:tcPr>
          <w:p>
            <w:pPr>
              <w:spacing w:after="0" w:line="240"/>
            </w:pPr>
            <w:r>
              <w:rPr>
                <w:sz w:val="17"/>
                <w:szCs w:val="17"/>
              </w:rPr>
              <w:t xml:space="preserve">Registration burden; international-barcode surcharges</w:t>
            </w:r>
          </w:p>
        </w:tc>
        <w:tc>
          <w:tcPr>
            <w:tcW w:type="dxa" w:w="2184"/>
            <w:shd w:fill="F5F1E8" w:val="clear"/>
            <w:tcMar>
              <w:top w:type="dxa" w:w="80"/>
              <w:left w:type="dxa" w:w="100"/>
              <w:bottom w:type="dxa" w:w="80"/>
              <w:right w:type="dxa" w:w="100"/>
            </w:tcMar>
          </w:tcPr>
          <w:p>
            <w:pPr>
              <w:spacing w:after="0" w:line="240"/>
            </w:pPr>
            <w:r>
              <w:rPr>
                <w:sz w:val="17"/>
                <w:szCs w:val="17"/>
              </w:rPr>
              <w:t xml:space="preserve">Dedicated importer working group; surcharge rationale (fraud-risk pricing) explained with Estonia/Slovakia precedent</w:t>
            </w:r>
          </w:p>
        </w:tc>
        <w:tc>
          <w:tcPr>
            <w:tcW w:type="dxa" w:w="2186"/>
            <w:shd w:fill="F5F1E8" w:val="clear"/>
            <w:tcMar>
              <w:top w:type="dxa" w:w="80"/>
              <w:left w:type="dxa" w:w="100"/>
              <w:bottom w:type="dxa" w:w="80"/>
              <w:right w:type="dxa" w:w="100"/>
            </w:tcMar>
          </w:tcPr>
          <w:p>
            <w:pPr>
              <w:spacing w:after="0" w:line="240"/>
            </w:pPr>
            <w:r>
              <w:rPr>
                <w:sz w:val="17"/>
                <w:szCs w:val="17"/>
              </w:rPr>
              <w:t xml:space="preserve">Wave 1</w:t>
            </w:r>
          </w:p>
        </w:tc>
      </w:tr>
      <w:tr>
        <w:tc>
          <w:tcPr>
            <w:tcW w:type="dxa" w:w="2184"/>
            <w:shd w:fill="FFFFFF" w:val="clear"/>
            <w:tcMar>
              <w:top w:type="dxa" w:w="80"/>
              <w:left w:type="dxa" w:w="100"/>
              <w:bottom w:type="dxa" w:w="80"/>
              <w:right w:type="dxa" w:w="100"/>
            </w:tcMar>
          </w:tcPr>
          <w:p>
            <w:pPr>
              <w:spacing w:after="0" w:line="240"/>
            </w:pPr>
            <w:r>
              <w:rPr>
                <w:b/>
                <w:bCs/>
                <w:sz w:val="17"/>
                <w:szCs w:val="17"/>
              </w:rPr>
              <w:t xml:space="preserve">Retailers</w:t>
            </w:r>
            <w:r>
              <w:rPr>
                <w:sz w:val="17"/>
                <w:szCs w:val="17"/>
              </w:rPr>
              <w:t xml:space="preserve"> (Carrefour, LuLu, Spinneys, Waitrose, Choithrams, Coops - all with Abu Dhabi single-use-policy track record, EAD, 2023)</w:t>
            </w:r>
          </w:p>
        </w:tc>
        <w:tc>
          <w:tcPr>
            <w:tcW w:type="dxa" w:w="2184"/>
            <w:shd w:fill="FFFFFF" w:val="clear"/>
            <w:tcMar>
              <w:top w:type="dxa" w:w="80"/>
              <w:left w:type="dxa" w:w="100"/>
              <w:bottom w:type="dxa" w:w="80"/>
              <w:right w:type="dxa" w:w="100"/>
            </w:tcMar>
          </w:tcPr>
          <w:p>
            <w:pPr>
              <w:spacing w:after="0" w:line="240"/>
            </w:pPr>
            <w:r>
              <w:rPr>
                <w:sz w:val="17"/>
                <w:szCs w:val="17"/>
              </w:rPr>
              <w:t xml:space="preserve">Floor space, handling fees, RVM economics (Hungary friction lesson)</w:t>
            </w:r>
          </w:p>
        </w:tc>
        <w:tc>
          <w:tcPr>
            <w:tcW w:type="dxa" w:w="2184"/>
            <w:shd w:fill="FFFFFF" w:val="clear"/>
            <w:tcMar>
              <w:top w:type="dxa" w:w="80"/>
              <w:left w:type="dxa" w:w="100"/>
              <w:bottom w:type="dxa" w:w="80"/>
              <w:right w:type="dxa" w:w="100"/>
            </w:tcMar>
          </w:tcPr>
          <w:p>
            <w:pPr>
              <w:spacing w:after="0" w:line="240"/>
            </w:pPr>
            <w:r>
              <w:rPr>
                <w:sz w:val="17"/>
                <w:szCs w:val="17"/>
              </w:rPr>
              <w:t xml:space="preserve">Retail council co-chaired with a major retailer; handling-fee benchmarking transparency; small-store grant scheme (Ireland precedent)</w:t>
            </w:r>
          </w:p>
        </w:tc>
        <w:tc>
          <w:tcPr>
            <w:tcW w:type="dxa" w:w="2186"/>
            <w:shd w:fill="FFFFFF" w:val="clear"/>
            <w:tcMar>
              <w:top w:type="dxa" w:w="80"/>
              <w:left w:type="dxa" w:w="100"/>
              <w:bottom w:type="dxa" w:w="80"/>
              <w:right w:type="dxa" w:w="100"/>
            </w:tcMar>
          </w:tcPr>
          <w:p>
            <w:pPr>
              <w:spacing w:after="0" w:line="240"/>
            </w:pPr>
            <w:r>
              <w:rPr>
                <w:sz w:val="17"/>
                <w:szCs w:val="17"/>
              </w:rPr>
              <w:t xml:space="preserve">Waves 1-2</w:t>
            </w:r>
          </w:p>
        </w:tc>
      </w:tr>
      <w:tr>
        <w:tc>
          <w:tcPr>
            <w:tcW w:type="dxa" w:w="2184"/>
            <w:shd w:fill="F5F1E8" w:val="clear"/>
            <w:tcMar>
              <w:top w:type="dxa" w:w="80"/>
              <w:left w:type="dxa" w:w="100"/>
              <w:bottom w:type="dxa" w:w="80"/>
              <w:right w:type="dxa" w:w="100"/>
            </w:tcMar>
          </w:tcPr>
          <w:p>
            <w:pPr>
              <w:spacing w:after="0" w:line="240"/>
            </w:pPr>
            <w:r>
              <w:rPr>
                <w:b/>
                <w:bCs/>
                <w:sz w:val="17"/>
                <w:szCs w:val="17"/>
              </w:rPr>
              <w:t xml:space="preserve">Waste-management companies</w:t>
            </w:r>
            <w:r>
              <w:rPr>
                <w:sz w:val="17"/>
                <w:szCs w:val="17"/>
              </w:rPr>
              <w:t xml:space="preserve"> (Tadweer, BEEAH, Dubai Municipality operators, private haulers)</w:t>
            </w:r>
          </w:p>
        </w:tc>
        <w:tc>
          <w:tcPr>
            <w:tcW w:type="dxa" w:w="2184"/>
            <w:shd w:fill="F5F1E8" w:val="clear"/>
            <w:tcMar>
              <w:top w:type="dxa" w:w="80"/>
              <w:left w:type="dxa" w:w="100"/>
              <w:bottom w:type="dxa" w:w="80"/>
              <w:right w:type="dxa" w:w="100"/>
            </w:tcMar>
          </w:tcPr>
          <w:p>
            <w:pPr>
              <w:spacing w:after="0" w:line="240"/>
            </w:pPr>
            <w:r>
              <w:rPr>
                <w:sz w:val="17"/>
                <w:szCs w:val="17"/>
              </w:rPr>
              <w:t xml:space="preserve">Role in DRS logistics; MRF interfaces; turf concerns</w:t>
            </w:r>
          </w:p>
        </w:tc>
        <w:tc>
          <w:tcPr>
            <w:tcW w:type="dxa" w:w="2184"/>
            <w:shd w:fill="F5F1E8" w:val="clear"/>
            <w:tcMar>
              <w:top w:type="dxa" w:w="80"/>
              <w:left w:type="dxa" w:w="100"/>
              <w:bottom w:type="dxa" w:w="80"/>
              <w:right w:type="dxa" w:w="100"/>
            </w:tcMar>
          </w:tcPr>
          <w:p>
            <w:pPr>
              <w:spacing w:after="0" w:line="240"/>
            </w:pPr>
            <w:r>
              <w:rPr>
                <w:sz w:val="17"/>
                <w:szCs w:val="17"/>
              </w:rPr>
              <w:t xml:space="preserve">Implementation agreements (§7.4); backhaul-first logistics design (Lithuania model); counting-centre co-location offers</w:t>
            </w:r>
          </w:p>
        </w:tc>
        <w:tc>
          <w:tcPr>
            <w:tcW w:type="dxa" w:w="2186"/>
            <w:shd w:fill="F5F1E8" w:val="clear"/>
            <w:tcMar>
              <w:top w:type="dxa" w:w="80"/>
              <w:left w:type="dxa" w:w="100"/>
              <w:bottom w:type="dxa" w:w="80"/>
              <w:right w:type="dxa" w:w="100"/>
            </w:tcMar>
          </w:tcPr>
          <w:p>
            <w:pPr>
              <w:spacing w:after="0" w:line="240"/>
            </w:pPr>
            <w:r>
              <w:rPr>
                <w:sz w:val="17"/>
                <w:szCs w:val="17"/>
              </w:rPr>
              <w:t xml:space="preserve">Waves 1-2</w:t>
            </w:r>
          </w:p>
        </w:tc>
      </w:tr>
      <w:tr>
        <w:tc>
          <w:tcPr>
            <w:tcW w:type="dxa" w:w="2184"/>
            <w:shd w:fill="FFFFFF" w:val="clear"/>
            <w:tcMar>
              <w:top w:type="dxa" w:w="80"/>
              <w:left w:type="dxa" w:w="100"/>
              <w:bottom w:type="dxa" w:w="80"/>
              <w:right w:type="dxa" w:w="100"/>
            </w:tcMar>
          </w:tcPr>
          <w:p>
            <w:pPr>
              <w:spacing w:after="0" w:line="240"/>
            </w:pPr>
            <w:r>
              <w:rPr>
                <w:b/>
                <w:bCs/>
                <w:sz w:val="17"/>
                <w:szCs w:val="17"/>
              </w:rPr>
              <w:t xml:space="preserve">Recyclers &amp; material offtakers</w:t>
            </w:r>
            <w:r>
              <w:rPr>
                <w:sz w:val="17"/>
                <w:szCs w:val="17"/>
              </w:rPr>
              <w:t xml:space="preserve"> (EGA aluminium ecosystem; regional rPET buyers)</w:t>
            </w:r>
          </w:p>
        </w:tc>
        <w:tc>
          <w:tcPr>
            <w:tcW w:type="dxa" w:w="2184"/>
            <w:shd w:fill="FFFFFF" w:val="clear"/>
            <w:tcMar>
              <w:top w:type="dxa" w:w="80"/>
              <w:left w:type="dxa" w:w="100"/>
              <w:bottom w:type="dxa" w:w="80"/>
              <w:right w:type="dxa" w:w="100"/>
            </w:tcMar>
          </w:tcPr>
          <w:p>
            <w:pPr>
              <w:spacing w:after="0" w:line="240"/>
            </w:pPr>
            <w:r>
              <w:rPr>
                <w:sz w:val="17"/>
                <w:szCs w:val="17"/>
              </w:rPr>
              <w:t xml:space="preserve">Securing high-purity DRS feedstock - DRS bales command premiums (USAD, 2019)</w:t>
            </w:r>
          </w:p>
        </w:tc>
        <w:tc>
          <w:tcPr>
            <w:tcW w:type="dxa" w:w="2184"/>
            <w:shd w:fill="FFFFFF" w:val="clear"/>
            <w:tcMar>
              <w:top w:type="dxa" w:w="80"/>
              <w:left w:type="dxa" w:w="100"/>
              <w:bottom w:type="dxa" w:w="80"/>
              <w:right w:type="dxa" w:w="100"/>
            </w:tcMar>
          </w:tcPr>
          <w:p>
            <w:pPr>
              <w:spacing w:after="0" w:line="240"/>
            </w:pPr>
            <w:r>
              <w:rPr>
                <w:sz w:val="17"/>
                <w:szCs w:val="17"/>
              </w:rPr>
              <w:t xml:space="preserve">Offtake MOUs with floor pricing; Aluminium Recycling Coalition channel (UAE Ministry of Economy, 2024)</w:t>
            </w:r>
          </w:p>
        </w:tc>
        <w:tc>
          <w:tcPr>
            <w:tcW w:type="dxa" w:w="2186"/>
            <w:shd w:fill="FFFFFF" w:val="clear"/>
            <w:tcMar>
              <w:top w:type="dxa" w:w="80"/>
              <w:left w:type="dxa" w:w="100"/>
              <w:bottom w:type="dxa" w:w="80"/>
              <w:right w:type="dxa" w:w="100"/>
            </w:tcMar>
          </w:tcPr>
          <w:p>
            <w:pPr>
              <w:spacing w:after="0" w:line="240"/>
            </w:pPr>
            <w:r>
              <w:rPr>
                <w:sz w:val="17"/>
                <w:szCs w:val="17"/>
              </w:rPr>
              <w:t xml:space="preserve">Wave 2</w:t>
            </w:r>
          </w:p>
        </w:tc>
      </w:tr>
      <w:tr>
        <w:tc>
          <w:tcPr>
            <w:tcW w:type="dxa" w:w="2184"/>
            <w:shd w:fill="F5F1E8" w:val="clear"/>
            <w:tcMar>
              <w:top w:type="dxa" w:w="80"/>
              <w:left w:type="dxa" w:w="100"/>
              <w:bottom w:type="dxa" w:w="80"/>
              <w:right w:type="dxa" w:w="100"/>
            </w:tcMar>
          </w:tcPr>
          <w:p>
            <w:pPr>
              <w:spacing w:after="0" w:line="240"/>
            </w:pPr>
            <w:r>
              <w:rPr>
                <w:b/>
                <w:bCs/>
                <w:sz w:val="17"/>
                <w:szCs w:val="17"/>
              </w:rPr>
              <w:t xml:space="preserve">Consumers</w:t>
            </w:r>
          </w:p>
        </w:tc>
        <w:tc>
          <w:tcPr>
            <w:tcW w:type="dxa" w:w="2184"/>
            <w:shd w:fill="F5F1E8" w:val="clear"/>
            <w:tcMar>
              <w:top w:type="dxa" w:w="80"/>
              <w:left w:type="dxa" w:w="100"/>
              <w:bottom w:type="dxa" w:w="80"/>
              <w:right w:type="dxa" w:w="100"/>
            </w:tcMar>
          </w:tcPr>
          <w:p>
            <w:pPr>
              <w:spacing w:after="0" w:line="240"/>
            </w:pPr>
            <w:r>
              <w:rPr>
                <w:sz w:val="17"/>
                <w:szCs w:val="17"/>
              </w:rPr>
              <w:t xml:space="preserve">Deposit cost at till; return convenience</w:t>
            </w:r>
          </w:p>
        </w:tc>
        <w:tc>
          <w:tcPr>
            <w:tcW w:type="dxa" w:w="2184"/>
            <w:shd w:fill="F5F1E8" w:val="clear"/>
            <w:tcMar>
              <w:top w:type="dxa" w:w="80"/>
              <w:left w:type="dxa" w:w="100"/>
              <w:bottom w:type="dxa" w:w="80"/>
              <w:right w:type="dxa" w:w="100"/>
            </w:tcMar>
          </w:tcPr>
          <w:p>
            <w:pPr>
              <w:spacing w:after="0" w:line="240"/>
            </w:pPr>
            <w:r>
              <w:rPr>
                <w:sz w:val="17"/>
                <w:szCs w:val="17"/>
              </w:rPr>
              <w:t xml:space="preserve">National bilingual campaign at launch; digital refund rails; charity-donation option (Lithuania/Norway precedent); soft-launch feedback loop</w:t>
            </w:r>
          </w:p>
        </w:tc>
        <w:tc>
          <w:tcPr>
            <w:tcW w:type="dxa" w:w="2186"/>
            <w:shd w:fill="F5F1E8" w:val="clear"/>
            <w:tcMar>
              <w:top w:type="dxa" w:w="80"/>
              <w:left w:type="dxa" w:w="100"/>
              <w:bottom w:type="dxa" w:w="80"/>
              <w:right w:type="dxa" w:w="100"/>
            </w:tcMar>
          </w:tcPr>
          <w:p>
            <w:pPr>
              <w:spacing w:after="0" w:line="240"/>
            </w:pPr>
            <w:r>
              <w:rPr>
                <w:sz w:val="17"/>
                <w:szCs w:val="17"/>
              </w:rPr>
              <w:t xml:space="preserve">Waves 2-3</w:t>
            </w:r>
          </w:p>
        </w:tc>
      </w:tr>
      <w:tr>
        <w:tc>
          <w:tcPr>
            <w:tcW w:type="dxa" w:w="2184"/>
            <w:shd w:fill="FFFFFF" w:val="clear"/>
            <w:tcMar>
              <w:top w:type="dxa" w:w="80"/>
              <w:left w:type="dxa" w:w="100"/>
              <w:bottom w:type="dxa" w:w="80"/>
              <w:right w:type="dxa" w:w="100"/>
            </w:tcMar>
          </w:tcPr>
          <w:p>
            <w:pPr>
              <w:spacing w:after="0" w:line="240"/>
            </w:pPr>
            <w:r>
              <w:rPr>
                <w:b/>
                <w:bCs/>
                <w:sz w:val="17"/>
                <w:szCs w:val="17"/>
              </w:rPr>
              <w:t xml:space="preserve">NGOs &amp; civil society</w:t>
            </w:r>
          </w:p>
        </w:tc>
        <w:tc>
          <w:tcPr>
            <w:tcW w:type="dxa" w:w="2184"/>
            <w:shd w:fill="FFFFFF" w:val="clear"/>
            <w:tcMar>
              <w:top w:type="dxa" w:w="80"/>
              <w:left w:type="dxa" w:w="100"/>
              <w:bottom w:type="dxa" w:w="80"/>
              <w:right w:type="dxa" w:w="100"/>
            </w:tcMar>
          </w:tcPr>
          <w:p>
            <w:pPr>
              <w:spacing w:after="0" w:line="240"/>
            </w:pPr>
            <w:r>
              <w:rPr>
                <w:sz w:val="17"/>
                <w:szCs w:val="17"/>
              </w:rPr>
              <w:t xml:space="preserve">Ambition of targets; transparency of escrow</w:t>
            </w:r>
          </w:p>
        </w:tc>
        <w:tc>
          <w:tcPr>
            <w:tcW w:type="dxa" w:w="2184"/>
            <w:shd w:fill="FFFFFF" w:val="clear"/>
            <w:tcMar>
              <w:top w:type="dxa" w:w="80"/>
              <w:left w:type="dxa" w:w="100"/>
              <w:bottom w:type="dxa" w:w="80"/>
              <w:right w:type="dxa" w:w="100"/>
            </w:tcMar>
          </w:tcPr>
          <w:p>
            <w:pPr>
              <w:spacing w:after="0" w:line="240"/>
            </w:pPr>
            <w:r>
              <w:rPr>
                <w:sz w:val="17"/>
                <w:szCs w:val="17"/>
              </w:rPr>
              <w:t xml:space="preserve">NGO advisory seat on DSO governance; published audits; litter-survey partnership</w:t>
            </w:r>
          </w:p>
        </w:tc>
        <w:tc>
          <w:tcPr>
            <w:tcW w:type="dxa" w:w="2186"/>
            <w:shd w:fill="FFFFFF" w:val="clear"/>
            <w:tcMar>
              <w:top w:type="dxa" w:w="80"/>
              <w:left w:type="dxa" w:w="100"/>
              <w:bottom w:type="dxa" w:w="80"/>
              <w:right w:type="dxa" w:w="100"/>
            </w:tcMar>
          </w:tcPr>
          <w:p>
            <w:pPr>
              <w:spacing w:after="0" w:line="240"/>
            </w:pPr>
            <w:r>
              <w:rPr>
                <w:sz w:val="17"/>
                <w:szCs w:val="17"/>
              </w:rPr>
              <w:t xml:space="preserve">Waves 1-3</w:t>
            </w:r>
          </w:p>
        </w:tc>
      </w:tr>
      <w:tr>
        <w:tc>
          <w:tcPr>
            <w:tcW w:type="dxa" w:w="2184"/>
            <w:shd w:fill="F5F1E8" w:val="clear"/>
            <w:tcMar>
              <w:top w:type="dxa" w:w="80"/>
              <w:left w:type="dxa" w:w="100"/>
              <w:bottom w:type="dxa" w:w="80"/>
              <w:right w:type="dxa" w:w="100"/>
            </w:tcMar>
          </w:tcPr>
          <w:p>
            <w:pPr>
              <w:spacing w:after="0" w:line="240"/>
            </w:pPr>
            <w:r>
              <w:rPr>
                <w:b/>
                <w:bCs/>
                <w:sz w:val="17"/>
                <w:szCs w:val="17"/>
              </w:rPr>
              <w:t xml:space="preserve">Tourism &amp; HoReCa sector</w:t>
            </w:r>
          </w:p>
        </w:tc>
        <w:tc>
          <w:tcPr>
            <w:tcW w:type="dxa" w:w="2184"/>
            <w:shd w:fill="F5F1E8" w:val="clear"/>
            <w:tcMar>
              <w:top w:type="dxa" w:w="80"/>
              <w:left w:type="dxa" w:w="100"/>
              <w:bottom w:type="dxa" w:w="80"/>
              <w:right w:type="dxa" w:w="100"/>
            </w:tcMar>
          </w:tcPr>
          <w:p>
            <w:pPr>
              <w:spacing w:after="0" w:line="240"/>
            </w:pPr>
            <w:r>
              <w:rPr>
                <w:sz w:val="17"/>
                <w:szCs w:val="17"/>
              </w:rPr>
              <w:t xml:space="preserve">Operational burden in hotels/events</w:t>
            </w:r>
          </w:p>
        </w:tc>
        <w:tc>
          <w:tcPr>
            <w:tcW w:type="dxa" w:w="2184"/>
            <w:shd w:fill="F5F1E8" w:val="clear"/>
            <w:tcMar>
              <w:top w:type="dxa" w:w="80"/>
              <w:left w:type="dxa" w:w="100"/>
              <w:bottom w:type="dxa" w:w="80"/>
              <w:right w:type="dxa" w:w="100"/>
            </w:tcMar>
          </w:tcPr>
          <w:p>
            <w:pPr>
              <w:spacing w:after="0" w:line="240"/>
            </w:pPr>
            <w:r>
              <w:rPr>
                <w:sz w:val="17"/>
                <w:szCs w:val="17"/>
              </w:rPr>
              <w:t xml:space="preserve">HoReCa-specific return solutions; venue RVM partnerships (Tabreed precedent, 2025)</w:t>
            </w:r>
          </w:p>
        </w:tc>
        <w:tc>
          <w:tcPr>
            <w:tcW w:type="dxa" w:w="2186"/>
            <w:shd w:fill="F5F1E8" w:val="clear"/>
            <w:tcMar>
              <w:top w:type="dxa" w:w="80"/>
              <w:left w:type="dxa" w:w="100"/>
              <w:bottom w:type="dxa" w:w="80"/>
              <w:right w:type="dxa" w:w="100"/>
            </w:tcMar>
          </w:tcPr>
          <w:p>
            <w:pPr>
              <w:spacing w:after="0" w:line="240"/>
            </w:pPr>
            <w:r>
              <w:rPr>
                <w:sz w:val="17"/>
                <w:szCs w:val="17"/>
              </w:rPr>
              <w:t xml:space="preserve">Wave 2</w:t>
            </w:r>
          </w:p>
        </w:tc>
      </w:tr>
    </w:tbl>
    <w:p>
      <w:pPr>
        <w:spacing w:after="200"/>
      </w:pPr>
      <w:r>
        <w:rPr>
          <w:sz w:val="8"/>
          <w:szCs w:val="8"/>
        </w:rPr>
        <w:t xml:space="preserve"/>
      </w:r>
    </w:p>
    <w:p>
      <w:pPr>
        <w:pBdr>
          <w:left w:val="single" w:color="C9A227" w:sz="18"/>
        </w:pBdr>
        <w:shd w:fill="F5F1E8" w:val="clear"/>
        <w:spacing w:after="100" w:before="60" w:line="280"/>
        <w:ind w:left="260" w:right="260"/>
      </w:pPr>
      <w:r>
        <w:rPr>
          <w:color w:val="1B2A4A"/>
          <w:sz w:val="20"/>
          <w:szCs w:val="20"/>
        </w:rPr>
        <w:t xml:space="preserve">The governing principle: every fast-launching system - Lithuania (18 months), Ireland, Romania - co-designed with industry through a single industry-led operator; every stalled or failed one - Spain, Scotland - let stakeholder conflict outlive the legal process. The UAE plan front-loads engagement into Phase 0 for exactly this reason.</w:t>
      </w:r>
    </w:p>
    <w:p>
      <w:pPr>
        <w:spacing w:after="120"/>
      </w:pPr>
      <w:r>
        <w:rPr>
          <w:sz w:val="8"/>
          <w:szCs w:val="8"/>
        </w:rPr>
        <w:t xml:space="preserve"/>
      </w:r>
    </w:p>
    <w:p>
      <w:pPr>
        <w:spacing w:after="160" w:line="300"/>
        <w:jc w:val="both"/>
      </w:pPr>
      <w:r>
        <w:t xml:space="preserve">[DATA GAP: The status of the Tadweer-TOMRA "nation-wide voluntary bottle return initiative" (announced April 2024 for early 2025) has no published update beyond the 25-RVM Abu Dhabi deployment (R2 §3.1). Whether that initiative is absorbed into, or runs parallel to, the national DRS is an open engagement item for Wave 1.]</w:t>
      </w:r>
    </w:p>
    <w:p>
      <w:pPr>
        <w:pageBreakBefore/>
        <w:spacing w:after="120" w:before="3600"/>
        <w:jc w:val="center"/>
      </w:pPr>
      <w:r>
        <w:rPr>
          <w:rFonts w:ascii="Georgia" w:cs="Georgia" w:eastAsia="Georgia" w:hAnsi="Georgia"/>
          <w:b/>
          <w:bCs/>
          <w:color w:val="C9A227"/>
          <w:spacing w:val="60"/>
          <w:sz w:val="26"/>
          <w:szCs w:val="26"/>
        </w:rPr>
        <w:t xml:space="preserve">PART IV</w:t>
      </w:r>
    </w:p>
    <w:p>
      <w:pPr>
        <w:pStyle w:val="Heading1"/>
        <w:spacing w:after="200"/>
        <w:jc w:val="center"/>
      </w:pPr>
      <w:r>
        <w:rPr>
          <w:rFonts w:ascii="Georgia" w:cs="Georgia" w:eastAsia="Georgia" w:hAnsi="Georgia"/>
          <w:b/>
          <w:bCs/>
          <w:color w:val="1B2A4A"/>
          <w:sz w:val="56"/>
          <w:szCs w:val="56"/>
        </w:rPr>
        <w:t xml:space="preserve">Financial Case</w:t>
      </w:r>
    </w:p>
    <w:p>
      <w:pPr>
        <w:pBdr>
          <w:bottom w:val="single" w:color="C9A227" w:sz="12" w:space="1"/>
        </w:pBdr>
        <w:spacing w:after="200"/>
        <w:jc w:val="center"/>
      </w:pPr>
      <w:r>
        <w:rPr>
          <w:sz w:val="8"/>
          <w:szCs w:val="8"/>
        </w:rPr>
        <w:t xml:space="preserve"> </w:t>
      </w:r>
    </w:p>
    <w:p>
      <w:pPr>
        <w:pageBreakBefore/>
        <w:spacing w:after="80" w:before="0"/>
      </w:pPr>
      <w:r>
        <w:rPr>
          <w:rFonts w:ascii="Georgia" w:cs="Georgia" w:eastAsia="Georgia" w:hAnsi="Georgia"/>
          <w:b/>
          <w:bCs/>
          <w:color w:val="C9A227"/>
          <w:spacing w:val="40"/>
          <w:sz w:val="20"/>
          <w:szCs w:val="20"/>
        </w:rPr>
        <w:t xml:space="preserve">CHAPTER 10</w:t>
      </w:r>
    </w:p>
    <w:p>
      <w:pPr>
        <w:pStyle w:val="Heading1"/>
        <w:pBdr>
          <w:bottom w:val="single" w:color="C9A227" w:sz="10" w:space="4"/>
        </w:pBdr>
        <w:spacing w:after="280"/>
      </w:pPr>
      <w:r>
        <w:rPr>
          <w:rFonts w:ascii="Georgia" w:cs="Georgia" w:eastAsia="Georgia" w:hAnsi="Georgia"/>
          <w:b/>
          <w:bCs/>
          <w:color w:val="1B2A4A"/>
          <w:sz w:val="44"/>
          <w:szCs w:val="44"/>
        </w:rPr>
        <w:t xml:space="preserve">Financial Model &amp; Economic Impact</w:t>
      </w:r>
    </w:p>
    <w:p>
      <w:pPr>
        <w:pStyle w:val="Heading2"/>
        <w:keepNext/>
        <w:spacing w:after="140" w:before="340"/>
      </w:pPr>
      <w:r>
        <w:rPr>
          <w:rFonts w:ascii="Georgia" w:cs="Georgia" w:eastAsia="Georgia" w:hAnsi="Georgia"/>
          <w:b/>
          <w:bCs/>
          <w:color w:val="1B2A4A"/>
          <w:sz w:val="30"/>
          <w:szCs w:val="30"/>
        </w:rPr>
        <w:t xml:space="preserve">10.1 Chapter Summary</w:t>
      </w:r>
    </w:p>
    <w:p>
      <w:pPr>
        <w:spacing w:after="160" w:line="300"/>
        <w:jc w:val="both"/>
      </w:pPr>
      <w:r>
        <w:t xml:space="preserve">A national Deposit Return System for PET, metal and glass beverage containers is </w:t>
      </w:r>
      <w:r>
        <w:rPr>
          <w:b/>
          <w:bCs/>
        </w:rPr>
        <w:t xml:space="preserve">financially self-sustaining under conservative, benchmarked assumptions</w:t>
      </w:r>
      <w:r>
        <w:t xml:space="preserve"> - without public subsidy and without any reliance on unredeemed consumer deposits.</w:t>
      </w:r>
    </w:p>
    <w:p>
      <w:pPr>
        <w:spacing w:after="160" w:line="300"/>
        <w:jc w:val="both"/>
      </w:pPr>
      <w:r>
        <w:t xml:space="preserve">The model presented in this chapter - built bottom-up from audited European benchmarks and UAE-specific market research - shows:</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4369"/>
        <w:gridCol w:w="4369"/>
      </w:tblGrid>
      <w:tr>
        <w:trPr>
          <w:tblHeader/>
        </w:trPr>
        <w:tc>
          <w:tcPr>
            <w:tcW w:type="dxa" w:w="4369"/>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Headline metric</w:t>
            </w:r>
          </w:p>
        </w:tc>
        <w:tc>
          <w:tcPr>
            <w:tcW w:type="dxa" w:w="4369"/>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Base case</w:t>
            </w:r>
          </w:p>
        </w:tc>
      </w:tr>
      <w:tr>
        <w:tc>
          <w:tcPr>
            <w:tcW w:type="dxa" w:w="4369"/>
            <w:shd w:fill="FFFFFF" w:val="clear"/>
            <w:tcMar>
              <w:top w:type="dxa" w:w="80"/>
              <w:left w:type="dxa" w:w="100"/>
              <w:bottom w:type="dxa" w:w="80"/>
              <w:right w:type="dxa" w:w="100"/>
            </w:tcMar>
          </w:tcPr>
          <w:p>
            <w:pPr>
              <w:spacing w:after="0" w:line="240"/>
            </w:pPr>
            <w:r>
              <w:rPr>
                <w:sz w:val="17"/>
                <w:szCs w:val="17"/>
              </w:rPr>
              <w:t xml:space="preserve">Containers placed on market (2028 launch)</w:t>
            </w:r>
          </w:p>
        </w:tc>
        <w:tc>
          <w:tcPr>
            <w:tcW w:type="dxa" w:w="4369"/>
            <w:shd w:fill="FFFFFF" w:val="clear"/>
            <w:tcMar>
              <w:top w:type="dxa" w:w="80"/>
              <w:left w:type="dxa" w:w="100"/>
              <w:bottom w:type="dxa" w:w="80"/>
              <w:right w:type="dxa" w:w="100"/>
            </w:tcMar>
          </w:tcPr>
          <w:p>
            <w:pPr>
              <w:spacing w:after="0" w:line="240"/>
            </w:pPr>
            <w:r>
              <w:rPr>
                <w:b/>
                <w:bCs/>
                <w:sz w:val="17"/>
                <w:szCs w:val="17"/>
              </w:rPr>
              <w:t xml:space="preserve">3.74 billion units/yr</w:t>
            </w:r>
          </w:p>
        </w:tc>
      </w:tr>
      <w:tr>
        <w:tc>
          <w:tcPr>
            <w:tcW w:type="dxa" w:w="4369"/>
            <w:shd w:fill="F5F1E8" w:val="clear"/>
            <w:tcMar>
              <w:top w:type="dxa" w:w="80"/>
              <w:left w:type="dxa" w:w="100"/>
              <w:bottom w:type="dxa" w:w="80"/>
              <w:right w:type="dxa" w:w="100"/>
            </w:tcMar>
          </w:tcPr>
          <w:p>
            <w:pPr>
              <w:spacing w:after="0" w:line="240"/>
            </w:pPr>
            <w:r>
              <w:rPr>
                <w:sz w:val="17"/>
                <w:szCs w:val="17"/>
              </w:rPr>
              <w:t xml:space="preserve">Total CAPEX (2026-2029)</w:t>
            </w:r>
          </w:p>
        </w:tc>
        <w:tc>
          <w:tcPr>
            <w:tcW w:type="dxa" w:w="4369"/>
            <w:shd w:fill="F5F1E8" w:val="clear"/>
            <w:tcMar>
              <w:top w:type="dxa" w:w="80"/>
              <w:left w:type="dxa" w:w="100"/>
              <w:bottom w:type="dxa" w:w="80"/>
              <w:right w:type="dxa" w:w="100"/>
            </w:tcMar>
          </w:tcPr>
          <w:p>
            <w:pPr>
              <w:spacing w:after="0" w:line="240"/>
            </w:pPr>
            <w:r>
              <w:rPr>
                <w:b/>
                <w:bCs/>
                <w:sz w:val="17"/>
                <w:szCs w:val="17"/>
              </w:rPr>
              <w:t xml:space="preserve">AED 664 million</w:t>
            </w:r>
            <w:r>
              <w:rPr>
                <w:sz w:val="17"/>
                <w:szCs w:val="17"/>
              </w:rPr>
              <w:t xml:space="preserve"> (~USD 181m / EUR 166m)</w:t>
            </w:r>
          </w:p>
        </w:tc>
      </w:tr>
      <w:tr>
        <w:tc>
          <w:tcPr>
            <w:tcW w:type="dxa" w:w="4369"/>
            <w:shd w:fill="FFFFFF" w:val="clear"/>
            <w:tcMar>
              <w:top w:type="dxa" w:w="80"/>
              <w:left w:type="dxa" w:w="100"/>
              <w:bottom w:type="dxa" w:w="80"/>
              <w:right w:type="dxa" w:w="100"/>
            </w:tcMar>
          </w:tcPr>
          <w:p>
            <w:pPr>
              <w:spacing w:after="0" w:line="240"/>
            </w:pPr>
            <w:r>
              <w:rPr>
                <w:sz w:val="17"/>
                <w:szCs w:val="17"/>
              </w:rPr>
              <w:t xml:space="preserve">OPEX at steady state (2034)</w:t>
            </w:r>
          </w:p>
        </w:tc>
        <w:tc>
          <w:tcPr>
            <w:tcW w:type="dxa" w:w="4369"/>
            <w:shd w:fill="FFFFFF" w:val="clear"/>
            <w:tcMar>
              <w:top w:type="dxa" w:w="80"/>
              <w:left w:type="dxa" w:w="100"/>
              <w:bottom w:type="dxa" w:w="80"/>
              <w:right w:type="dxa" w:w="100"/>
            </w:tcMar>
          </w:tcPr>
          <w:p>
            <w:pPr>
              <w:spacing w:after="0" w:line="240"/>
            </w:pPr>
            <w:r>
              <w:rPr>
                <w:b/>
                <w:bCs/>
                <w:sz w:val="17"/>
                <w:szCs w:val="17"/>
              </w:rPr>
              <w:t xml:space="preserve">AED ~1.08 billion/yr</w:t>
            </w:r>
          </w:p>
        </w:tc>
      </w:tr>
      <w:tr>
        <w:tc>
          <w:tcPr>
            <w:tcW w:type="dxa" w:w="4369"/>
            <w:shd w:fill="F5F1E8" w:val="clear"/>
            <w:tcMar>
              <w:top w:type="dxa" w:w="80"/>
              <w:left w:type="dxa" w:w="100"/>
              <w:bottom w:type="dxa" w:w="80"/>
              <w:right w:type="dxa" w:w="100"/>
            </w:tcMar>
          </w:tcPr>
          <w:p>
            <w:pPr>
              <w:spacing w:after="0" w:line="240"/>
            </w:pPr>
            <w:r>
              <w:rPr>
                <w:sz w:val="17"/>
                <w:szCs w:val="17"/>
              </w:rPr>
              <w:t xml:space="preserve">Revenue at steady state (2034)</w:t>
            </w:r>
          </w:p>
        </w:tc>
        <w:tc>
          <w:tcPr>
            <w:tcW w:type="dxa" w:w="4369"/>
            <w:shd w:fill="F5F1E8" w:val="clear"/>
            <w:tcMar>
              <w:top w:type="dxa" w:w="80"/>
              <w:left w:type="dxa" w:w="100"/>
              <w:bottom w:type="dxa" w:w="80"/>
              <w:right w:type="dxa" w:w="100"/>
            </w:tcMar>
          </w:tcPr>
          <w:p>
            <w:pPr>
              <w:spacing w:after="0" w:line="240"/>
            </w:pPr>
            <w:r>
              <w:rPr>
                <w:b/>
                <w:bCs/>
                <w:sz w:val="17"/>
                <w:szCs w:val="17"/>
              </w:rPr>
              <w:t xml:space="preserve">AED ~1.10 billion/yr</w:t>
            </w:r>
          </w:p>
        </w:tc>
      </w:tr>
      <w:tr>
        <w:tc>
          <w:tcPr>
            <w:tcW w:type="dxa" w:w="4369"/>
            <w:shd w:fill="FFFFFF" w:val="clear"/>
            <w:tcMar>
              <w:top w:type="dxa" w:w="80"/>
              <w:left w:type="dxa" w:w="100"/>
              <w:bottom w:type="dxa" w:w="80"/>
              <w:right w:type="dxa" w:w="100"/>
            </w:tcMar>
          </w:tcPr>
          <w:p>
            <w:pPr>
              <w:spacing w:after="0" w:line="240"/>
            </w:pPr>
            <w:r>
              <w:rPr>
                <w:sz w:val="17"/>
                <w:szCs w:val="17"/>
              </w:rPr>
              <w:t xml:space="preserve">System project IRR (unlevered, 2026-2037)</w:t>
            </w:r>
          </w:p>
        </w:tc>
        <w:tc>
          <w:tcPr>
            <w:tcW w:type="dxa" w:w="4369"/>
            <w:shd w:fill="FFFFFF" w:val="clear"/>
            <w:tcMar>
              <w:top w:type="dxa" w:w="80"/>
              <w:left w:type="dxa" w:w="100"/>
              <w:bottom w:type="dxa" w:w="80"/>
              <w:right w:type="dxa" w:w="100"/>
            </w:tcMar>
          </w:tcPr>
          <w:p>
            <w:pPr>
              <w:spacing w:after="0" w:line="240"/>
            </w:pPr>
            <w:r>
              <w:rPr>
                <w:b/>
                <w:bCs/>
                <w:sz w:val="17"/>
                <w:szCs w:val="17"/>
              </w:rPr>
              <w:t xml:space="preserve">27.7%</w:t>
            </w:r>
          </w:p>
        </w:tc>
      </w:tr>
      <w:tr>
        <w:tc>
          <w:tcPr>
            <w:tcW w:type="dxa" w:w="4369"/>
            <w:shd w:fill="F5F1E8" w:val="clear"/>
            <w:tcMar>
              <w:top w:type="dxa" w:w="80"/>
              <w:left w:type="dxa" w:w="100"/>
              <w:bottom w:type="dxa" w:w="80"/>
              <w:right w:type="dxa" w:w="100"/>
            </w:tcMar>
          </w:tcPr>
          <w:p>
            <w:pPr>
              <w:spacing w:after="0" w:line="240"/>
            </w:pPr>
            <w:r>
              <w:rPr>
                <w:sz w:val="17"/>
                <w:szCs w:val="17"/>
              </w:rPr>
              <w:t xml:space="preserve">NPV @ 8% discount rate</w:t>
            </w:r>
          </w:p>
        </w:tc>
        <w:tc>
          <w:tcPr>
            <w:tcW w:type="dxa" w:w="4369"/>
            <w:shd w:fill="F5F1E8" w:val="clear"/>
            <w:tcMar>
              <w:top w:type="dxa" w:w="80"/>
              <w:left w:type="dxa" w:w="100"/>
              <w:bottom w:type="dxa" w:w="80"/>
              <w:right w:type="dxa" w:w="100"/>
            </w:tcMar>
          </w:tcPr>
          <w:p>
            <w:pPr>
              <w:spacing w:after="0" w:line="240"/>
            </w:pPr>
            <w:r>
              <w:rPr>
                <w:b/>
                <w:bCs/>
                <w:sz w:val="17"/>
                <w:szCs w:val="17"/>
              </w:rPr>
              <w:t xml:space="preserve">+AED 349 million</w:t>
            </w:r>
          </w:p>
        </w:tc>
      </w:tr>
      <w:tr>
        <w:tc>
          <w:tcPr>
            <w:tcW w:type="dxa" w:w="4369"/>
            <w:shd w:fill="FFFFFF" w:val="clear"/>
            <w:tcMar>
              <w:top w:type="dxa" w:w="80"/>
              <w:left w:type="dxa" w:w="100"/>
              <w:bottom w:type="dxa" w:w="80"/>
              <w:right w:type="dxa" w:w="100"/>
            </w:tcMar>
          </w:tcPr>
          <w:p>
            <w:pPr>
              <w:spacing w:after="0" w:line="240"/>
            </w:pPr>
            <w:r>
              <w:rPr>
                <w:sz w:val="17"/>
                <w:szCs w:val="17"/>
              </w:rPr>
              <w:t xml:space="preserve">Payback / peak funding requirement</w:t>
            </w:r>
          </w:p>
        </w:tc>
        <w:tc>
          <w:tcPr>
            <w:tcW w:type="dxa" w:w="4369"/>
            <w:shd w:fill="FFFFFF" w:val="clear"/>
            <w:tcMar>
              <w:top w:type="dxa" w:w="80"/>
              <w:left w:type="dxa" w:w="100"/>
              <w:bottom w:type="dxa" w:w="80"/>
              <w:right w:type="dxa" w:w="100"/>
            </w:tcMar>
          </w:tcPr>
          <w:p>
            <w:pPr>
              <w:spacing w:after="0" w:line="240"/>
            </w:pPr>
            <w:r>
              <w:rPr>
                <w:b/>
                <w:bCs/>
                <w:sz w:val="17"/>
                <w:szCs w:val="17"/>
              </w:rPr>
              <w:t xml:space="preserve">2031 / AED 294 million</w:t>
            </w:r>
          </w:p>
        </w:tc>
      </w:tr>
      <w:tr>
        <w:tc>
          <w:tcPr>
            <w:tcW w:type="dxa" w:w="4369"/>
            <w:shd w:fill="F5F1E8" w:val="clear"/>
            <w:tcMar>
              <w:top w:type="dxa" w:w="80"/>
              <w:left w:type="dxa" w:w="100"/>
              <w:bottom w:type="dxa" w:w="80"/>
              <w:right w:type="dxa" w:w="100"/>
            </w:tcMar>
          </w:tcPr>
          <w:p>
            <w:pPr>
              <w:spacing w:after="0" w:line="240"/>
            </w:pPr>
            <w:r>
              <w:rPr>
                <w:sz w:val="17"/>
                <w:szCs w:val="17"/>
              </w:rPr>
              <w:t xml:space="preserve">Direct + indirect employment</w:t>
            </w:r>
          </w:p>
        </w:tc>
        <w:tc>
          <w:tcPr>
            <w:tcW w:type="dxa" w:w="4369"/>
            <w:shd w:fill="F5F1E8" w:val="clear"/>
            <w:tcMar>
              <w:top w:type="dxa" w:w="80"/>
              <w:left w:type="dxa" w:w="100"/>
              <w:bottom w:type="dxa" w:w="80"/>
              <w:right w:type="dxa" w:w="100"/>
            </w:tcMar>
          </w:tcPr>
          <w:p>
            <w:pPr>
              <w:spacing w:after="0" w:line="240"/>
            </w:pPr>
            <w:r>
              <w:rPr>
                <w:b/>
                <w:bCs/>
                <w:sz w:val="17"/>
                <w:szCs w:val="17"/>
              </w:rPr>
              <w:t xml:space="preserve">~1,200-1,500 jobs</w:t>
            </w:r>
          </w:p>
        </w:tc>
      </w:tr>
    </w:tbl>
    <w:p>
      <w:pPr>
        <w:spacing w:after="200"/>
      </w:pPr>
      <w:r>
        <w:rPr>
          <w:sz w:val="8"/>
          <w:szCs w:val="8"/>
        </w:rPr>
        <w:t xml:space="preserve"/>
      </w:r>
    </w:p>
    <w:p>
      <w:pPr>
        <w:pBdr>
          <w:left w:val="single" w:color="C9A227" w:sz="18"/>
        </w:pBdr>
        <w:shd w:fill="F5F1E8" w:val="clear"/>
        <w:spacing w:after="100" w:before="60" w:line="280"/>
        <w:ind w:left="260" w:right="260"/>
      </w:pPr>
      <w:r>
        <w:rPr>
          <w:b/>
          <w:bCs/>
          <w:color w:val="1B2A4A"/>
          <w:sz w:val="20"/>
          <w:szCs w:val="20"/>
        </w:rPr>
        <w:t xml:space="preserve">The deposit is not the business model.</w:t>
      </w:r>
      <w:r>
        <w:rPr>
          <w:color w:val="1B2A4A"/>
          <w:sz w:val="20"/>
          <w:szCs w:val="20"/>
        </w:rPr>
        <w:t xml:space="preserve"> Deposit funds are pass-through consumer liabilities held in transparent escrow. The system is financed by producer fees calibrated for steady-state cost recovery, plus the market value of recovered materials. Segen earns nothing from unredeemed deposits - its income derives exclusively from operations management and recovered-material value.</w:t>
      </w:r>
    </w:p>
    <w:p>
      <w:pPr>
        <w:spacing w:after="120"/>
      </w:pPr>
      <w:r>
        <w:rPr>
          <w:sz w:val="8"/>
          <w:szCs w:val="8"/>
        </w:rPr>
        <w:t xml:space="preserve"/>
      </w:r>
    </w:p>
    <w:p>
      <w:pPr>
        <w:spacing w:after="160" w:line="300"/>
        <w:jc w:val="both"/>
      </w:pPr>
      <w:r>
        <w:t xml:space="preserve">Three design features underpin the financial case: </w:t>
      </w:r>
      <w:r>
        <w:rPr>
          <w:b/>
          <w:bCs/>
        </w:rPr>
        <w:t xml:space="preserve">(1)</w:t>
      </w:r>
      <w:r>
        <w:t xml:space="preserve"> a phased CAPEX programme that peaks before launch; </w:t>
      </w:r>
      <w:r>
        <w:rPr>
          <w:b/>
          <w:bCs/>
        </w:rPr>
        <w:t xml:space="preserve">(2)</w:t>
      </w:r>
      <w:r>
        <w:t xml:space="preserve"> a producer-fee architecture deliberately set for steady-state economics, not ramp-up optics - the central lesson of Ireland's audited first year (Re-turn Annual Report, 2024); and </w:t>
      </w:r>
      <w:r>
        <w:rPr>
          <w:b/>
          <w:bCs/>
        </w:rPr>
        <w:t xml:space="preserve">(3)</w:t>
      </w:r>
      <w:r>
        <w:t xml:space="preserve"> a statutory annual fee-review mechanism that keeps the system solvent across the full range of modelled scenarios.</w:t>
      </w:r>
    </w:p>
    <w:p>
      <w:pPr>
        <w:pStyle w:val="Heading2"/>
        <w:keepNext/>
        <w:spacing w:after="140" w:before="340"/>
      </w:pPr>
      <w:r>
        <w:rPr>
          <w:rFonts w:ascii="Georgia" w:cs="Georgia" w:eastAsia="Georgia" w:hAnsi="Georgia"/>
          <w:b/>
          <w:bCs/>
          <w:color w:val="1B2A4A"/>
          <w:sz w:val="30"/>
          <w:szCs w:val="30"/>
        </w:rPr>
        <w:t xml:space="preserve">10.2 Market Sizing: Units and Value</w:t>
      </w:r>
    </w:p>
    <w:p>
      <w:pPr>
        <w:pStyle w:val="Heading3"/>
        <w:keepNext/>
        <w:spacing w:after="110" w:before="260"/>
      </w:pPr>
      <w:r>
        <w:rPr>
          <w:rFonts w:ascii="Calibri" w:cs="Calibri" w:eastAsia="Calibri" w:hAnsi="Calibri"/>
          <w:b/>
          <w:bCs/>
          <w:color w:val="4A6580"/>
          <w:sz w:val="24"/>
          <w:szCs w:val="24"/>
        </w:rPr>
        <w:t xml:space="preserve">10.2.1 Placed-on-market volumes</w:t>
      </w:r>
    </w:p>
    <w:p>
      <w:pPr>
        <w:spacing w:after="160" w:line="300"/>
        <w:jc w:val="both"/>
      </w:pPr>
      <w:r>
        <w:t xml:space="preserve">The addressable market at launch (2028) is modelled at </w:t>
      </w:r>
      <w:r>
        <w:rPr>
          <w:b/>
          <w:bCs/>
        </w:rPr>
        <w:t xml:space="preserve">3.74 billion containers per year</w:t>
      </w:r>
      <w:r>
        <w:t xml:space="preserve">, growing at a deliberately conservative </w:t>
      </w:r>
      <w:r>
        <w:rPr>
          <w:b/>
          <w:bCs/>
        </w:rPr>
        <w:t xml:space="preserve">2% per annum</w:t>
      </w:r>
      <w:r>
        <w:t xml:space="preserve"> (below the UAE's 5.7% 2024 population growth, to allow headroom for tourism and demographic upside):</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2912"/>
        <w:gridCol w:w="2912"/>
        <w:gridCol w:w="2914"/>
      </w:tblGrid>
      <w:tr>
        <w:trPr>
          <w:tblHeader/>
        </w:trPr>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Material</w:t>
            </w:r>
          </w:p>
        </w:tc>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POM 2028 (bn units)</w:t>
            </w:r>
          </w:p>
        </w:tc>
        <w:tc>
          <w:tcPr>
            <w:tcW w:type="dxa" w:w="291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Basis</w:t>
            </w:r>
          </w:p>
        </w:tc>
      </w:tr>
      <w:tr>
        <w:tc>
          <w:tcPr>
            <w:tcW w:type="dxa" w:w="2912"/>
            <w:shd w:fill="FFFFFF" w:val="clear"/>
            <w:tcMar>
              <w:top w:type="dxa" w:w="80"/>
              <w:left w:type="dxa" w:w="100"/>
              <w:bottom w:type="dxa" w:w="80"/>
              <w:right w:type="dxa" w:w="100"/>
            </w:tcMar>
          </w:tcPr>
          <w:p>
            <w:pPr>
              <w:spacing w:after="0" w:line="240"/>
            </w:pPr>
            <w:r>
              <w:rPr>
                <w:sz w:val="17"/>
                <w:szCs w:val="17"/>
              </w:rPr>
              <w:t xml:space="preserve">PET bottles</w:t>
            </w:r>
          </w:p>
        </w:tc>
        <w:tc>
          <w:tcPr>
            <w:tcW w:type="dxa" w:w="2912"/>
            <w:shd w:fill="FFFFFF" w:val="clear"/>
            <w:tcMar>
              <w:top w:type="dxa" w:w="80"/>
              <w:left w:type="dxa" w:w="100"/>
              <w:bottom w:type="dxa" w:w="80"/>
              <w:right w:type="dxa" w:w="100"/>
            </w:tcMar>
          </w:tcPr>
          <w:p>
            <w:pPr>
              <w:spacing w:after="0" w:line="240"/>
            </w:pPr>
            <w:r>
              <w:rPr>
                <w:b/>
                <w:bCs/>
                <w:sz w:val="17"/>
                <w:szCs w:val="17"/>
              </w:rPr>
              <w:t xml:space="preserve">2.90</w:t>
            </w:r>
          </w:p>
        </w:tc>
        <w:tc>
          <w:tcPr>
            <w:tcW w:type="dxa" w:w="2914"/>
            <w:shd w:fill="FFFFFF" w:val="clear"/>
            <w:tcMar>
              <w:top w:type="dxa" w:w="80"/>
              <w:left w:type="dxa" w:w="100"/>
              <w:bottom w:type="dxa" w:w="80"/>
              <w:right w:type="dxa" w:w="100"/>
            </w:tcMar>
          </w:tcPr>
          <w:p>
            <w:pPr>
              <w:spacing w:after="0" w:line="240"/>
            </w:pPr>
            <w:r>
              <w:rPr>
                <w:sz w:val="17"/>
                <w:szCs w:val="17"/>
              </w:rPr>
              <w:t xml:space="preserve">Mid-range of UAE consumer-survey modelled range 2.1-3.8bn; </w:t>
            </w:r>
            <w:r>
              <w:rPr>
                <w:b/>
                <w:bCs/>
                <w:sz w:val="17"/>
                <w:szCs w:val="17"/>
              </w:rPr>
              <w:t xml:space="preserve">caveat: requires validation against producer/importer SKU data before policy finalisation</w:t>
            </w:r>
          </w:p>
        </w:tc>
      </w:tr>
      <w:tr>
        <w:tc>
          <w:tcPr>
            <w:tcW w:type="dxa" w:w="2912"/>
            <w:shd w:fill="F5F1E8" w:val="clear"/>
            <w:tcMar>
              <w:top w:type="dxa" w:w="80"/>
              <w:left w:type="dxa" w:w="100"/>
              <w:bottom w:type="dxa" w:w="80"/>
              <w:right w:type="dxa" w:w="100"/>
            </w:tcMar>
          </w:tcPr>
          <w:p>
            <w:pPr>
              <w:spacing w:after="0" w:line="240"/>
            </w:pPr>
            <w:r>
              <w:rPr>
                <w:sz w:val="17"/>
                <w:szCs w:val="17"/>
              </w:rPr>
              <w:t xml:space="preserve">Aluminium cans</w:t>
            </w:r>
          </w:p>
        </w:tc>
        <w:tc>
          <w:tcPr>
            <w:tcW w:type="dxa" w:w="2912"/>
            <w:shd w:fill="F5F1E8" w:val="clear"/>
            <w:tcMar>
              <w:top w:type="dxa" w:w="80"/>
              <w:left w:type="dxa" w:w="100"/>
              <w:bottom w:type="dxa" w:w="80"/>
              <w:right w:type="dxa" w:w="100"/>
            </w:tcMar>
          </w:tcPr>
          <w:p>
            <w:pPr>
              <w:spacing w:after="0" w:line="240"/>
            </w:pPr>
            <w:r>
              <w:rPr>
                <w:b/>
                <w:bCs/>
                <w:sz w:val="17"/>
                <w:szCs w:val="17"/>
              </w:rPr>
              <w:t xml:space="preserve">0.66</w:t>
            </w:r>
          </w:p>
        </w:tc>
        <w:tc>
          <w:tcPr>
            <w:tcW w:type="dxa" w:w="2914"/>
            <w:shd w:fill="F5F1E8" w:val="clear"/>
            <w:tcMar>
              <w:top w:type="dxa" w:w="80"/>
              <w:left w:type="dxa" w:w="100"/>
              <w:bottom w:type="dxa" w:w="80"/>
              <w:right w:type="dxa" w:w="100"/>
            </w:tcMar>
          </w:tcPr>
          <w:p>
            <w:pPr>
              <w:spacing w:after="0" w:line="240"/>
            </w:pPr>
            <w:r>
              <w:rPr>
                <w:sz w:val="17"/>
                <w:szCs w:val="17"/>
              </w:rPr>
              <w:t xml:space="preserve">Emirates Global Aluminium published figure (EGA, 2024)</w:t>
            </w:r>
          </w:p>
        </w:tc>
      </w:tr>
      <w:tr>
        <w:tc>
          <w:tcPr>
            <w:tcW w:type="dxa" w:w="2912"/>
            <w:shd w:fill="FFFFFF" w:val="clear"/>
            <w:tcMar>
              <w:top w:type="dxa" w:w="80"/>
              <w:left w:type="dxa" w:w="100"/>
              <w:bottom w:type="dxa" w:w="80"/>
              <w:right w:type="dxa" w:w="100"/>
            </w:tcMar>
          </w:tcPr>
          <w:p>
            <w:pPr>
              <w:spacing w:after="0" w:line="240"/>
            </w:pPr>
            <w:r>
              <w:rPr>
                <w:sz w:val="17"/>
                <w:szCs w:val="17"/>
              </w:rPr>
              <w:t xml:space="preserve">Glass bottles</w:t>
            </w:r>
          </w:p>
        </w:tc>
        <w:tc>
          <w:tcPr>
            <w:tcW w:type="dxa" w:w="2912"/>
            <w:shd w:fill="FFFFFF" w:val="clear"/>
            <w:tcMar>
              <w:top w:type="dxa" w:w="80"/>
              <w:left w:type="dxa" w:w="100"/>
              <w:bottom w:type="dxa" w:w="80"/>
              <w:right w:type="dxa" w:w="100"/>
            </w:tcMar>
          </w:tcPr>
          <w:p>
            <w:pPr>
              <w:spacing w:after="0" w:line="240"/>
            </w:pPr>
            <w:r>
              <w:rPr>
                <w:b/>
                <w:bCs/>
                <w:sz w:val="17"/>
                <w:szCs w:val="17"/>
              </w:rPr>
              <w:t xml:space="preserve">0.18</w:t>
            </w:r>
          </w:p>
        </w:tc>
        <w:tc>
          <w:tcPr>
            <w:tcW w:type="dxa" w:w="2914"/>
            <w:shd w:fill="FFFFFF" w:val="clear"/>
            <w:tcMar>
              <w:top w:type="dxa" w:w="80"/>
              <w:left w:type="dxa" w:w="100"/>
              <w:bottom w:type="dxa" w:w="80"/>
              <w:right w:type="dxa" w:w="100"/>
            </w:tcMar>
          </w:tcPr>
          <w:p>
            <w:pPr>
              <w:spacing w:after="0" w:line="240"/>
            </w:pPr>
            <w:r>
              <w:rPr>
                <w:sz w:val="17"/>
                <w:szCs w:val="17"/>
              </w:rPr>
              <w:t xml:space="preserve">Estimate (~5% of PET + cans); explicit gap in UAE packaging-flow data</w:t>
            </w:r>
          </w:p>
        </w:tc>
      </w:tr>
      <w:tr>
        <w:tc>
          <w:tcPr>
            <w:tcW w:type="dxa" w:w="2912"/>
            <w:shd w:fill="F5F1E8" w:val="clear"/>
            <w:tcMar>
              <w:top w:type="dxa" w:w="80"/>
              <w:left w:type="dxa" w:w="100"/>
              <w:bottom w:type="dxa" w:w="80"/>
              <w:right w:type="dxa" w:w="100"/>
            </w:tcMar>
          </w:tcPr>
          <w:p>
            <w:pPr>
              <w:spacing w:after="0" w:line="240"/>
            </w:pPr>
            <w:r>
              <w:rPr>
                <w:b/>
                <w:bCs/>
                <w:sz w:val="17"/>
                <w:szCs w:val="17"/>
              </w:rPr>
              <w:t xml:space="preserve">Total</w:t>
            </w:r>
          </w:p>
        </w:tc>
        <w:tc>
          <w:tcPr>
            <w:tcW w:type="dxa" w:w="2912"/>
            <w:shd w:fill="F5F1E8" w:val="clear"/>
            <w:tcMar>
              <w:top w:type="dxa" w:w="80"/>
              <w:left w:type="dxa" w:w="100"/>
              <w:bottom w:type="dxa" w:w="80"/>
              <w:right w:type="dxa" w:w="100"/>
            </w:tcMar>
          </w:tcPr>
          <w:p>
            <w:pPr>
              <w:spacing w:after="0" w:line="240"/>
            </w:pPr>
            <w:r>
              <w:rPr>
                <w:b/>
                <w:bCs/>
                <w:sz w:val="17"/>
                <w:szCs w:val="17"/>
              </w:rPr>
              <w:t xml:space="preserve">3.74</w:t>
            </w:r>
          </w:p>
        </w:tc>
        <w:tc>
          <w:tcPr>
            <w:tcW w:type="dxa" w:w="2914"/>
            <w:shd w:fill="F5F1E8" w:val="clear"/>
            <w:tcMar>
              <w:top w:type="dxa" w:w="80"/>
              <w:left w:type="dxa" w:w="100"/>
              <w:bottom w:type="dxa" w:w="80"/>
              <w:right w:type="dxa" w:w="100"/>
            </w:tcMar>
          </w:tcPr>
          <w:p>
            <w:pPr>
              <w:spacing w:after="0" w:line="240"/>
            </w:pPr>
            <w:r>
              <w:rPr>
                <w:sz w:val="17"/>
                <w:szCs w:val="17"/>
              </w:rPr>
              <w:t xml:space="preserve"/>
            </w:r>
          </w:p>
        </w:tc>
      </w:tr>
    </w:tbl>
    <w:p>
      <w:pPr>
        <w:spacing w:after="200"/>
      </w:pPr>
      <w:r>
        <w:rPr>
          <w:sz w:val="8"/>
          <w:szCs w:val="8"/>
        </w:rPr>
        <w:t xml:space="preserve"/>
      </w:r>
    </w:p>
    <w:p>
      <w:pPr>
        <w:pStyle w:val="Heading3"/>
        <w:keepNext/>
        <w:spacing w:after="110" w:before="260"/>
      </w:pPr>
      <w:r>
        <w:rPr>
          <w:rFonts w:ascii="Calibri" w:cs="Calibri" w:eastAsia="Calibri" w:hAnsi="Calibri"/>
          <w:b/>
          <w:bCs/>
          <w:color w:val="4A6580"/>
          <w:sz w:val="24"/>
          <w:szCs w:val="24"/>
        </w:rPr>
        <w:t xml:space="preserve">10.2.2 Deposit value recommendation (non-binding)</w:t>
      </w:r>
    </w:p>
    <w:p>
      <w:pPr>
        <w:spacing w:after="160" w:line="300"/>
        <w:jc w:val="both"/>
      </w:pPr>
      <w:r>
        <w:t xml:space="preserve">Following the analysis of deposit levels in Chapter 6, the model's reference assumption is a </w:t>
      </w:r>
      <w:r>
        <w:rPr>
          <w:b/>
          <w:bCs/>
        </w:rPr>
        <w:t xml:space="preserve">flat deposit of AED 0.25 across all materials and sizes (0.1-3 L)</w:t>
      </w:r>
      <w:r>
        <w:t xml:space="preserve"> - approximately 25% of the price of a typical AED 1 bottled water, a behaviour-changing incentive consistent with the flat-deposit structures of Lithuania, Romania and Hungary, and within the EUR 0.10-0.25 international band on a purchasing-power-adjusted basis (Reloop, 2024).</w:t>
      </w:r>
    </w:p>
    <w:p>
      <w:pPr>
        <w:spacing w:after="40" w:before="200"/>
        <w:jc w:val="center"/>
      </w:pPr>
      <w:r>
        <w:drawing>
          <wp:inline distT="0" distB="0" distL="0" distR="0">
            <wp:extent cx="4095750" cy="3076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4095750" cy="3076575"/>
                    </a:xfrm>
                    <a:prstGeom prst="rect">
                      <a:avLst/>
                    </a:prstGeom>
                  </pic:spPr>
                </pic:pic>
              </a:graphicData>
            </a:graphic>
          </wp:inline>
        </w:drawing>
      </w:r>
    </w:p>
    <w:p>
      <w:pPr>
        <w:spacing w:after="240" w:before="40"/>
        <w:jc w:val="center"/>
      </w:pPr>
      <w:r>
        <w:rPr>
          <w:rFonts w:ascii="Calibri" w:cs="Calibri" w:eastAsia="Calibri" w:hAnsi="Calibri"/>
          <w:i/>
          <w:iCs/>
          <w:color w:val="4A6580"/>
          <w:sz w:val="17"/>
          <w:szCs w:val="17"/>
        </w:rPr>
        <w:t xml:space="preserve">The deposit visible at the shelf - €0.10 added at point of sale and refunded on return (European benchmark system, Lithuania).</w:t>
      </w:r>
    </w:p>
    <w:p>
      <w:pPr>
        <w:spacing w:after="90" w:line="290"/>
        <w:ind w:left="380" w:hanging="180"/>
      </w:pPr>
      <w:r>
        <w:rPr>
          <w:b/>
          <w:bCs/>
          <w:color w:val="C9A227"/>
        </w:rPr>
        <w:t xml:space="preserve">• </w:t>
      </w:r>
      <w:r>
        <w:rPr>
          <w:b/>
          <w:bCs/>
        </w:rPr>
        <w:t xml:space="preserve">AED 0.10 was rejected as too weak</w:t>
      </w:r>
      <w:r>
        <w:t xml:space="preserve"> for a high-income, convenience-driven market; </w:t>
      </w:r>
      <w:r>
        <w:rPr>
          <w:b/>
          <w:bCs/>
        </w:rPr>
        <w:t xml:space="preserve">AED 0.50 was rejected for launch</w:t>
      </w:r>
      <w:r>
        <w:t xml:space="preserve"> on fraud-incentive and working-capital grounds (gross deposit flows would reach ~AED 1.9-2.2bn/yr).</w:t>
      </w:r>
    </w:p>
    <w:p>
      <w:pPr>
        <w:spacing w:after="90" w:line="290"/>
        <w:ind w:left="380" w:hanging="180"/>
      </w:pPr>
      <w:r>
        <w:rPr>
          <w:b/>
          <w:bCs/>
          <w:color w:val="C9A227"/>
        </w:rPr>
        <w:t xml:space="preserve">• </w:t>
      </w:r>
      <w:r>
        <w:t xml:space="preserve">This recommendation is </w:t>
      </w:r>
      <w:r>
        <w:rPr>
          <w:b/>
          <w:bCs/>
        </w:rPr>
        <w:t xml:space="preserve">non-binding</w:t>
      </w:r>
      <w:r>
        <w:t xml:space="preserve"> - a reference value for policymakers, to be reassessed at the year-2 statutory review against achieved return rates and Türkiye's first-year results as the closest structural analogue (hot climate, tourism-heavy, app-based refunds).</w:t>
      </w:r>
    </w:p>
    <w:p>
      <w:pPr>
        <w:pStyle w:val="Heading3"/>
        <w:keepNext/>
        <w:spacing w:after="110" w:before="260"/>
      </w:pPr>
      <w:r>
        <w:rPr>
          <w:rFonts w:ascii="Calibri" w:cs="Calibri" w:eastAsia="Calibri" w:hAnsi="Calibri"/>
          <w:b/>
          <w:bCs/>
          <w:color w:val="4A6580"/>
          <w:sz w:val="24"/>
          <w:szCs w:val="24"/>
        </w:rPr>
        <w:t xml:space="preserve">10.2.3 Return-rate trajectory</w:t>
      </w:r>
    </w:p>
    <w:p>
      <w:pPr>
        <w:spacing w:after="160" w:line="300"/>
        <w:jc w:val="both"/>
      </w:pPr>
      <w:r>
        <w:t xml:space="preserve">The model assumes a launch return rate of </w:t>
      </w:r>
      <w:r>
        <w:rPr>
          <w:b/>
          <w:bCs/>
        </w:rPr>
        <w:t xml:space="preserve">55%</w:t>
      </w:r>
      <w:r>
        <w:t xml:space="preserve">, ramping to </w:t>
      </w:r>
      <w:r>
        <w:rPr>
          <w:b/>
          <w:bCs/>
        </w:rPr>
        <w:t xml:space="preserve">90% by year 7 (2034)</w:t>
      </w:r>
      <w:r>
        <w:t xml:space="preserve"> - deliberately slower than the fastest European launches (Romania 83-84% by year 2; Hungary 88.8% year 2; Ireland 91% recycling by year 2) to reflect first-in-region status and network build-out (Reloop, 2024; letsrecycle, 2025).</w:t>
      </w:r>
    </w:p>
    <w:p>
      <w:pPr>
        <w:pStyle w:val="Heading2"/>
        <w:keepNext/>
        <w:spacing w:after="140" w:before="340"/>
      </w:pPr>
      <w:r>
        <w:rPr>
          <w:rFonts w:ascii="Georgia" w:cs="Georgia" w:eastAsia="Georgia" w:hAnsi="Georgia"/>
          <w:b/>
          <w:bCs/>
          <w:color w:val="1B2A4A"/>
          <w:sz w:val="30"/>
          <w:szCs w:val="30"/>
        </w:rPr>
        <w:t xml:space="preserve">10.3 Capital Expenditure: AED 664 Million, Phased 2026-2029</w:t>
      </w:r>
    </w:p>
    <w:p>
      <w:pPr>
        <w:spacing w:after="160" w:line="300"/>
        <w:jc w:val="both"/>
      </w:pPr>
      <w:r>
        <w:t xml:space="preserve">Total programme CAPEX is </w:t>
      </w:r>
      <w:r>
        <w:rPr>
          <w:b/>
          <w:bCs/>
        </w:rPr>
        <w:t xml:space="preserve">AED 664 million</w:t>
      </w:r>
      <w:r>
        <w:t xml:space="preserve"> (~USD 181m / EUR 166m, at the USD peg of 3.6725 and an indicative EUR rate of 4.00) - approximately </w:t>
      </w:r>
      <w:r>
        <w:rPr>
          <w:b/>
          <w:bCs/>
        </w:rPr>
        <w:t xml:space="preserve">AED 59 per resident</w:t>
      </w:r>
      <w:r>
        <w:t xml:space="preserve">. Unlike several European systems where retailers own the reverse vending machines, the UAE design has the system SPV own the full infrastructure, which raises headline CAPEX relative to comparators such as Romania (whose €85-90m operator loan excluded retailer-borne RVMs) but gives the system direct control over service quality, data and fraud prevention.</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2912"/>
        <w:gridCol w:w="2912"/>
        <w:gridCol w:w="2914"/>
      </w:tblGrid>
      <w:tr>
        <w:trPr>
          <w:tblHeader/>
        </w:trPr>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CAPEX line</w:t>
            </w:r>
          </w:p>
        </w:tc>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AED m</w:t>
            </w:r>
          </w:p>
        </w:tc>
        <w:tc>
          <w:tcPr>
            <w:tcW w:type="dxa" w:w="291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Basis</w:t>
            </w:r>
          </w:p>
        </w:tc>
      </w:tr>
      <w:tr>
        <w:tc>
          <w:tcPr>
            <w:tcW w:type="dxa" w:w="2912"/>
            <w:shd w:fill="FFFFFF" w:val="clear"/>
            <w:tcMar>
              <w:top w:type="dxa" w:w="80"/>
              <w:left w:type="dxa" w:w="100"/>
              <w:bottom w:type="dxa" w:w="80"/>
              <w:right w:type="dxa" w:w="100"/>
            </w:tcMar>
          </w:tcPr>
          <w:p>
            <w:pPr>
              <w:spacing w:after="0" w:line="240"/>
            </w:pPr>
            <w:r>
              <w:rPr>
                <w:sz w:val="17"/>
                <w:szCs w:val="17"/>
              </w:rPr>
              <w:t xml:space="preserve">RVM fleet - </w:t>
            </w:r>
            <w:r>
              <w:rPr>
                <w:b/>
                <w:bCs/>
                <w:sz w:val="17"/>
                <w:szCs w:val="17"/>
              </w:rPr>
              <w:t xml:space="preserve">3,500 machines</w:t>
            </w:r>
            <w:r>
              <w:rPr>
                <w:sz w:val="17"/>
                <w:szCs w:val="17"/>
              </w:rPr>
              <w:t xml:space="preserve"> @ AED 110k installed</w:t>
            </w:r>
          </w:p>
        </w:tc>
        <w:tc>
          <w:tcPr>
            <w:tcW w:type="dxa" w:w="2912"/>
            <w:shd w:fill="FFFFFF" w:val="clear"/>
            <w:tcMar>
              <w:top w:type="dxa" w:w="80"/>
              <w:left w:type="dxa" w:w="100"/>
              <w:bottom w:type="dxa" w:w="80"/>
              <w:right w:type="dxa" w:w="100"/>
            </w:tcMar>
          </w:tcPr>
          <w:p>
            <w:pPr>
              <w:spacing w:after="0" w:line="240"/>
            </w:pPr>
            <w:r>
              <w:rPr>
                <w:b/>
                <w:bCs/>
                <w:sz w:val="17"/>
                <w:szCs w:val="17"/>
              </w:rPr>
              <w:t xml:space="preserve">385</w:t>
            </w:r>
          </w:p>
        </w:tc>
        <w:tc>
          <w:tcPr>
            <w:tcW w:type="dxa" w:w="2914"/>
            <w:shd w:fill="FFFFFF" w:val="clear"/>
            <w:tcMar>
              <w:top w:type="dxa" w:w="80"/>
              <w:left w:type="dxa" w:w="100"/>
              <w:bottom w:type="dxa" w:w="80"/>
              <w:right w:type="dxa" w:w="100"/>
            </w:tcMar>
          </w:tcPr>
          <w:p>
            <w:pPr>
              <w:spacing w:after="0" w:line="240"/>
            </w:pPr>
            <w:r>
              <w:rPr>
                <w:sz w:val="17"/>
                <w:szCs w:val="17"/>
              </w:rPr>
              <w:t xml:space="preserve">MDPI UAE study count benchmark (MDPI, 2023); unit cost within international range of USD 10-25k standard / &gt;USD 30k AI-equipped; Ireland outdoor actuals €30k ≈ AED 120k (Market Growth Reports, 2026; Oireachtas, 2026)</w:t>
            </w:r>
          </w:p>
        </w:tc>
      </w:tr>
      <w:tr>
        <w:tc>
          <w:tcPr>
            <w:tcW w:type="dxa" w:w="2912"/>
            <w:shd w:fill="F5F1E8" w:val="clear"/>
            <w:tcMar>
              <w:top w:type="dxa" w:w="80"/>
              <w:left w:type="dxa" w:w="100"/>
              <w:bottom w:type="dxa" w:w="80"/>
              <w:right w:type="dxa" w:w="100"/>
            </w:tcMar>
          </w:tcPr>
          <w:p>
            <w:pPr>
              <w:spacing w:after="0" w:line="240"/>
            </w:pPr>
            <w:r>
              <w:rPr>
                <w:sz w:val="17"/>
                <w:szCs w:val="17"/>
              </w:rPr>
              <w:t xml:space="preserve">Counting &amp; sorting centres - </w:t>
            </w:r>
            <w:r>
              <w:rPr>
                <w:b/>
                <w:bCs/>
                <w:sz w:val="17"/>
                <w:szCs w:val="17"/>
              </w:rPr>
              <w:t xml:space="preserve">3 facilities</w:t>
            </w:r>
            <w:r>
              <w:rPr>
                <w:sz w:val="17"/>
                <w:szCs w:val="17"/>
              </w:rPr>
              <w:t xml:space="preserve"> (Dubai, Abu Dhabi, Sharjah/N. Emirates)</w:t>
            </w:r>
          </w:p>
        </w:tc>
        <w:tc>
          <w:tcPr>
            <w:tcW w:type="dxa" w:w="2912"/>
            <w:shd w:fill="F5F1E8" w:val="clear"/>
            <w:tcMar>
              <w:top w:type="dxa" w:w="80"/>
              <w:left w:type="dxa" w:w="100"/>
              <w:bottom w:type="dxa" w:w="80"/>
              <w:right w:type="dxa" w:w="100"/>
            </w:tcMar>
          </w:tcPr>
          <w:p>
            <w:pPr>
              <w:spacing w:after="0" w:line="240"/>
            </w:pPr>
            <w:r>
              <w:rPr>
                <w:b/>
                <w:bCs/>
                <w:sz w:val="17"/>
                <w:szCs w:val="17"/>
              </w:rPr>
              <w:t xml:space="preserve">108</w:t>
            </w:r>
          </w:p>
        </w:tc>
        <w:tc>
          <w:tcPr>
            <w:tcW w:type="dxa" w:w="2914"/>
            <w:shd w:fill="F5F1E8" w:val="clear"/>
            <w:tcMar>
              <w:top w:type="dxa" w:w="80"/>
              <w:left w:type="dxa" w:w="100"/>
              <w:bottom w:type="dxa" w:w="80"/>
              <w:right w:type="dxa" w:w="100"/>
            </w:tcMar>
          </w:tcPr>
          <w:p>
            <w:pPr>
              <w:spacing w:after="0" w:line="240"/>
            </w:pPr>
            <w:r>
              <w:rPr>
                <w:sz w:val="17"/>
                <w:szCs w:val="17"/>
              </w:rPr>
              <w:t xml:space="preserve">Romania ~€8-9m per regional centre; 7 centres for ~7bn packages/yr → 3 for ~3.5-4bn (RetuRO press, 2024)</w:t>
            </w:r>
          </w:p>
        </w:tc>
      </w:tr>
      <w:tr>
        <w:tc>
          <w:tcPr>
            <w:tcW w:type="dxa" w:w="2912"/>
            <w:shd w:fill="FFFFFF" w:val="clear"/>
            <w:tcMar>
              <w:top w:type="dxa" w:w="80"/>
              <w:left w:type="dxa" w:w="100"/>
              <w:bottom w:type="dxa" w:w="80"/>
              <w:right w:type="dxa" w:w="100"/>
            </w:tcMar>
          </w:tcPr>
          <w:p>
            <w:pPr>
              <w:spacing w:after="0" w:line="240"/>
            </w:pPr>
            <w:r>
              <w:rPr>
                <w:sz w:val="17"/>
                <w:szCs w:val="17"/>
              </w:rPr>
              <w:t xml:space="preserve">Central IT platform</w:t>
            </w:r>
          </w:p>
        </w:tc>
        <w:tc>
          <w:tcPr>
            <w:tcW w:type="dxa" w:w="2912"/>
            <w:shd w:fill="FFFFFF" w:val="clear"/>
            <w:tcMar>
              <w:top w:type="dxa" w:w="80"/>
              <w:left w:type="dxa" w:w="100"/>
              <w:bottom w:type="dxa" w:w="80"/>
              <w:right w:type="dxa" w:w="100"/>
            </w:tcMar>
          </w:tcPr>
          <w:p>
            <w:pPr>
              <w:spacing w:after="0" w:line="240"/>
            </w:pPr>
            <w:r>
              <w:rPr>
                <w:b/>
                <w:bCs/>
                <w:sz w:val="17"/>
                <w:szCs w:val="17"/>
              </w:rPr>
              <w:t xml:space="preserve">30</w:t>
            </w:r>
          </w:p>
        </w:tc>
        <w:tc>
          <w:tcPr>
            <w:tcW w:type="dxa" w:w="2914"/>
            <w:shd w:fill="FFFFFF" w:val="clear"/>
            <w:tcMar>
              <w:top w:type="dxa" w:w="80"/>
              <w:left w:type="dxa" w:w="100"/>
              <w:bottom w:type="dxa" w:w="80"/>
              <w:right w:type="dxa" w:w="100"/>
            </w:tcMar>
          </w:tcPr>
          <w:p>
            <w:pPr>
              <w:spacing w:after="0" w:line="240"/>
            </w:pPr>
            <w:r>
              <w:rPr>
                <w:sz w:val="17"/>
                <w:szCs w:val="17"/>
              </w:rPr>
              <w:t xml:space="preserve">Estimate; Slovakia-type build 6-12 months (Sensoneo, 2024) - no national DRS IT contract values are publicly disclosed [DATA GAP: national DRS central-IT contract values - vendor figures not disclosed; estimate based on scale signals only]</w:t>
            </w:r>
          </w:p>
        </w:tc>
      </w:tr>
      <w:tr>
        <w:tc>
          <w:tcPr>
            <w:tcW w:type="dxa" w:w="2912"/>
            <w:shd w:fill="F5F1E8" w:val="clear"/>
            <w:tcMar>
              <w:top w:type="dxa" w:w="80"/>
              <w:left w:type="dxa" w:w="100"/>
              <w:bottom w:type="dxa" w:w="80"/>
              <w:right w:type="dxa" w:w="100"/>
            </w:tcMar>
          </w:tcPr>
          <w:p>
            <w:pPr>
              <w:spacing w:after="0" w:line="240"/>
            </w:pPr>
            <w:r>
              <w:rPr>
                <w:sz w:val="17"/>
                <w:szCs w:val="17"/>
              </w:rPr>
              <w:t xml:space="preserve">Vehicles &amp; logistics</w:t>
            </w:r>
          </w:p>
        </w:tc>
        <w:tc>
          <w:tcPr>
            <w:tcW w:type="dxa" w:w="2912"/>
            <w:shd w:fill="F5F1E8" w:val="clear"/>
            <w:tcMar>
              <w:top w:type="dxa" w:w="80"/>
              <w:left w:type="dxa" w:w="100"/>
              <w:bottom w:type="dxa" w:w="80"/>
              <w:right w:type="dxa" w:w="100"/>
            </w:tcMar>
          </w:tcPr>
          <w:p>
            <w:pPr>
              <w:spacing w:after="0" w:line="240"/>
            </w:pPr>
            <w:r>
              <w:rPr>
                <w:b/>
                <w:bCs/>
                <w:sz w:val="17"/>
                <w:szCs w:val="17"/>
              </w:rPr>
              <w:t xml:space="preserve">40</w:t>
            </w:r>
          </w:p>
        </w:tc>
        <w:tc>
          <w:tcPr>
            <w:tcW w:type="dxa" w:w="2914"/>
            <w:shd w:fill="F5F1E8" w:val="clear"/>
            <w:tcMar>
              <w:top w:type="dxa" w:w="80"/>
              <w:left w:type="dxa" w:w="100"/>
              <w:bottom w:type="dxa" w:w="80"/>
              <w:right w:type="dxa" w:w="100"/>
            </w:tcMar>
          </w:tcPr>
          <w:p>
            <w:pPr>
              <w:spacing w:after="0" w:line="240"/>
            </w:pPr>
            <w:r>
              <w:rPr>
                <w:sz w:val="17"/>
                <w:szCs w:val="17"/>
              </w:rPr>
              <w:t xml:space="preserve">Backhaul-first design (European benchmark operations model) limits dedicated fleet</w:t>
            </w:r>
          </w:p>
        </w:tc>
      </w:tr>
      <w:tr>
        <w:tc>
          <w:tcPr>
            <w:tcW w:type="dxa" w:w="2912"/>
            <w:shd w:fill="FFFFFF" w:val="clear"/>
            <w:tcMar>
              <w:top w:type="dxa" w:w="80"/>
              <w:left w:type="dxa" w:w="100"/>
              <w:bottom w:type="dxa" w:w="80"/>
              <w:right w:type="dxa" w:w="100"/>
            </w:tcMar>
          </w:tcPr>
          <w:p>
            <w:pPr>
              <w:spacing w:after="0" w:line="240"/>
            </w:pPr>
            <w:r>
              <w:rPr>
                <w:sz w:val="17"/>
                <w:szCs w:val="17"/>
              </w:rPr>
              <w:t xml:space="preserve">Setup &amp; pre-launch</w:t>
            </w:r>
          </w:p>
        </w:tc>
        <w:tc>
          <w:tcPr>
            <w:tcW w:type="dxa" w:w="2912"/>
            <w:shd w:fill="FFFFFF" w:val="clear"/>
            <w:tcMar>
              <w:top w:type="dxa" w:w="80"/>
              <w:left w:type="dxa" w:w="100"/>
              <w:bottom w:type="dxa" w:w="80"/>
              <w:right w:type="dxa" w:w="100"/>
            </w:tcMar>
          </w:tcPr>
          <w:p>
            <w:pPr>
              <w:spacing w:after="0" w:line="240"/>
            </w:pPr>
            <w:r>
              <w:rPr>
                <w:b/>
                <w:bCs/>
                <w:sz w:val="17"/>
                <w:szCs w:val="17"/>
              </w:rPr>
              <w:t xml:space="preserve">45</w:t>
            </w:r>
          </w:p>
        </w:tc>
        <w:tc>
          <w:tcPr>
            <w:tcW w:type="dxa" w:w="2914"/>
            <w:shd w:fill="FFFFFF" w:val="clear"/>
            <w:tcMar>
              <w:top w:type="dxa" w:w="80"/>
              <w:left w:type="dxa" w:w="100"/>
              <w:bottom w:type="dxa" w:w="80"/>
              <w:right w:type="dxa" w:w="100"/>
            </w:tcMar>
          </w:tcPr>
          <w:p>
            <w:pPr>
              <w:spacing w:after="0" w:line="240"/>
            </w:pPr>
            <w:r>
              <w:rPr>
                <w:sz w:val="17"/>
                <w:szCs w:val="17"/>
              </w:rPr>
              <w:t xml:space="preserve">Context: Romania setup financed by €85-90m green loan; Ireland repaid setup from year-1 surplus (CSNA, 2025)</w:t>
            </w:r>
          </w:p>
        </w:tc>
      </w:tr>
      <w:tr>
        <w:tc>
          <w:tcPr>
            <w:tcW w:type="dxa" w:w="2912"/>
            <w:shd w:fill="F5F1E8" w:val="clear"/>
            <w:tcMar>
              <w:top w:type="dxa" w:w="80"/>
              <w:left w:type="dxa" w:w="100"/>
              <w:bottom w:type="dxa" w:w="80"/>
              <w:right w:type="dxa" w:w="100"/>
            </w:tcMar>
          </w:tcPr>
          <w:p>
            <w:pPr>
              <w:spacing w:after="0" w:line="240"/>
            </w:pPr>
            <w:r>
              <w:rPr>
                <w:sz w:val="17"/>
                <w:szCs w:val="17"/>
              </w:rPr>
              <w:t xml:space="preserve">Contingency (10% on hard capex)</w:t>
            </w:r>
          </w:p>
        </w:tc>
        <w:tc>
          <w:tcPr>
            <w:tcW w:type="dxa" w:w="2912"/>
            <w:shd w:fill="F5F1E8" w:val="clear"/>
            <w:tcMar>
              <w:top w:type="dxa" w:w="80"/>
              <w:left w:type="dxa" w:w="100"/>
              <w:bottom w:type="dxa" w:w="80"/>
              <w:right w:type="dxa" w:w="100"/>
            </w:tcMar>
          </w:tcPr>
          <w:p>
            <w:pPr>
              <w:spacing w:after="0" w:line="240"/>
            </w:pPr>
            <w:r>
              <w:rPr>
                <w:b/>
                <w:bCs/>
                <w:sz w:val="17"/>
                <w:szCs w:val="17"/>
              </w:rPr>
              <w:t xml:space="preserve">56</w:t>
            </w:r>
          </w:p>
        </w:tc>
        <w:tc>
          <w:tcPr>
            <w:tcW w:type="dxa" w:w="2914"/>
            <w:shd w:fill="F5F1E8" w:val="clear"/>
            <w:tcMar>
              <w:top w:type="dxa" w:w="80"/>
              <w:left w:type="dxa" w:w="100"/>
              <w:bottom w:type="dxa" w:w="80"/>
              <w:right w:type="dxa" w:w="100"/>
            </w:tcMar>
          </w:tcPr>
          <w:p>
            <w:pPr>
              <w:spacing w:after="0" w:line="240"/>
            </w:pPr>
            <w:r>
              <w:rPr>
                <w:sz w:val="17"/>
                <w:szCs w:val="17"/>
              </w:rPr>
              <w:t xml:space="preserve">Estimate</w:t>
            </w:r>
          </w:p>
        </w:tc>
      </w:tr>
      <w:tr>
        <w:tc>
          <w:tcPr>
            <w:tcW w:type="dxa" w:w="2912"/>
            <w:shd w:fill="FFFFFF" w:val="clear"/>
            <w:tcMar>
              <w:top w:type="dxa" w:w="80"/>
              <w:left w:type="dxa" w:w="100"/>
              <w:bottom w:type="dxa" w:w="80"/>
              <w:right w:type="dxa" w:w="100"/>
            </w:tcMar>
          </w:tcPr>
          <w:p>
            <w:pPr>
              <w:spacing w:after="0" w:line="240"/>
            </w:pPr>
            <w:r>
              <w:rPr>
                <w:b/>
                <w:bCs/>
                <w:sz w:val="17"/>
                <w:szCs w:val="17"/>
              </w:rPr>
              <w:t xml:space="preserve">Total</w:t>
            </w:r>
          </w:p>
        </w:tc>
        <w:tc>
          <w:tcPr>
            <w:tcW w:type="dxa" w:w="2912"/>
            <w:shd w:fill="FFFFFF" w:val="clear"/>
            <w:tcMar>
              <w:top w:type="dxa" w:w="80"/>
              <w:left w:type="dxa" w:w="100"/>
              <w:bottom w:type="dxa" w:w="80"/>
              <w:right w:type="dxa" w:w="100"/>
            </w:tcMar>
          </w:tcPr>
          <w:p>
            <w:pPr>
              <w:spacing w:after="0" w:line="240"/>
            </w:pPr>
            <w:r>
              <w:rPr>
                <w:b/>
                <w:bCs/>
                <w:sz w:val="17"/>
                <w:szCs w:val="17"/>
              </w:rPr>
              <w:t xml:space="preserve">664</w:t>
            </w:r>
          </w:p>
        </w:tc>
        <w:tc>
          <w:tcPr>
            <w:tcW w:type="dxa" w:w="2914"/>
            <w:shd w:fill="FFFFFF" w:val="clear"/>
            <w:tcMar>
              <w:top w:type="dxa" w:w="80"/>
              <w:left w:type="dxa" w:w="100"/>
              <w:bottom w:type="dxa" w:w="80"/>
              <w:right w:type="dxa" w:w="100"/>
            </w:tcMar>
          </w:tcPr>
          <w:p>
            <w:pPr>
              <w:spacing w:after="0" w:line="240"/>
            </w:pPr>
            <w:r>
              <w:rPr>
                <w:sz w:val="17"/>
                <w:szCs w:val="17"/>
              </w:rPr>
              <w:t xml:space="preserve"/>
            </w:r>
          </w:p>
        </w:tc>
      </w:tr>
    </w:tbl>
    <w:p>
      <w:pPr>
        <w:spacing w:after="200"/>
      </w:pPr>
      <w:r>
        <w:rPr>
          <w:sz w:val="8"/>
          <w:szCs w:val="8"/>
        </w:rPr>
        <w:t xml:space="preserve"/>
      </w:r>
    </w:p>
    <w:p>
      <w:pPr>
        <w:spacing w:after="160" w:line="300"/>
        <w:jc w:val="both"/>
      </w:pPr>
      <w:r>
        <w:rPr>
          <w:b/>
          <w:bCs/>
        </w:rPr>
        <w:t xml:space="preserve">Phasing:</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1456"/>
        <w:gridCol w:w="1456"/>
        <w:gridCol w:w="1456"/>
        <w:gridCol w:w="1456"/>
        <w:gridCol w:w="1456"/>
        <w:gridCol w:w="1458"/>
      </w:tblGrid>
      <w:tr>
        <w:trPr>
          <w:tblHeader/>
        </w:trPr>
        <w:tc>
          <w:tcPr>
            <w:tcW w:type="dxa" w:w="1456"/>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Year</w:t>
            </w:r>
          </w:p>
        </w:tc>
        <w:tc>
          <w:tcPr>
            <w:tcW w:type="dxa" w:w="1456"/>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2026</w:t>
            </w:r>
          </w:p>
        </w:tc>
        <w:tc>
          <w:tcPr>
            <w:tcW w:type="dxa" w:w="1456"/>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2027</w:t>
            </w:r>
          </w:p>
        </w:tc>
        <w:tc>
          <w:tcPr>
            <w:tcW w:type="dxa" w:w="1456"/>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2028</w:t>
            </w:r>
          </w:p>
        </w:tc>
        <w:tc>
          <w:tcPr>
            <w:tcW w:type="dxa" w:w="1456"/>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2029</w:t>
            </w:r>
          </w:p>
        </w:tc>
        <w:tc>
          <w:tcPr>
            <w:tcW w:type="dxa" w:w="1458"/>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Total</w:t>
            </w:r>
          </w:p>
        </w:tc>
      </w:tr>
      <w:tr>
        <w:tc>
          <w:tcPr>
            <w:tcW w:type="dxa" w:w="1456"/>
            <w:shd w:fill="FFFFFF" w:val="clear"/>
            <w:tcMar>
              <w:top w:type="dxa" w:w="80"/>
              <w:left w:type="dxa" w:w="100"/>
              <w:bottom w:type="dxa" w:w="80"/>
              <w:right w:type="dxa" w:w="100"/>
            </w:tcMar>
          </w:tcPr>
          <w:p>
            <w:pPr>
              <w:spacing w:after="0" w:line="240"/>
            </w:pPr>
            <w:r>
              <w:rPr>
                <w:sz w:val="17"/>
                <w:szCs w:val="17"/>
              </w:rPr>
              <w:t xml:space="preserve">CAPEX (AED m)</w:t>
            </w:r>
          </w:p>
        </w:tc>
        <w:tc>
          <w:tcPr>
            <w:tcW w:type="dxa" w:w="1456"/>
            <w:shd w:fill="FFFFFF" w:val="clear"/>
            <w:tcMar>
              <w:top w:type="dxa" w:w="80"/>
              <w:left w:type="dxa" w:w="100"/>
              <w:bottom w:type="dxa" w:w="80"/>
              <w:right w:type="dxa" w:w="100"/>
            </w:tcMar>
          </w:tcPr>
          <w:p>
            <w:pPr>
              <w:spacing w:after="0" w:line="240"/>
            </w:pPr>
            <w:r>
              <w:rPr>
                <w:sz w:val="17"/>
                <w:szCs w:val="17"/>
              </w:rPr>
              <w:t xml:space="preserve">41</w:t>
            </w:r>
          </w:p>
        </w:tc>
        <w:tc>
          <w:tcPr>
            <w:tcW w:type="dxa" w:w="1456"/>
            <w:shd w:fill="FFFFFF" w:val="clear"/>
            <w:tcMar>
              <w:top w:type="dxa" w:w="80"/>
              <w:left w:type="dxa" w:w="100"/>
              <w:bottom w:type="dxa" w:w="80"/>
              <w:right w:type="dxa" w:w="100"/>
            </w:tcMar>
          </w:tcPr>
          <w:p>
            <w:pPr>
              <w:spacing w:after="0" w:line="240"/>
            </w:pPr>
            <w:r>
              <w:rPr>
                <w:sz w:val="17"/>
                <w:szCs w:val="17"/>
              </w:rPr>
              <w:t xml:space="preserve">247</w:t>
            </w:r>
          </w:p>
        </w:tc>
        <w:tc>
          <w:tcPr>
            <w:tcW w:type="dxa" w:w="1456"/>
            <w:shd w:fill="FFFFFF" w:val="clear"/>
            <w:tcMar>
              <w:top w:type="dxa" w:w="80"/>
              <w:left w:type="dxa" w:w="100"/>
              <w:bottom w:type="dxa" w:w="80"/>
              <w:right w:type="dxa" w:w="100"/>
            </w:tcMar>
          </w:tcPr>
          <w:p>
            <w:pPr>
              <w:spacing w:after="0" w:line="240"/>
            </w:pPr>
            <w:r>
              <w:rPr>
                <w:sz w:val="17"/>
                <w:szCs w:val="17"/>
              </w:rPr>
              <w:t xml:space="preserve">279</w:t>
            </w:r>
          </w:p>
        </w:tc>
        <w:tc>
          <w:tcPr>
            <w:tcW w:type="dxa" w:w="1456"/>
            <w:shd w:fill="FFFFFF" w:val="clear"/>
            <w:tcMar>
              <w:top w:type="dxa" w:w="80"/>
              <w:left w:type="dxa" w:w="100"/>
              <w:bottom w:type="dxa" w:w="80"/>
              <w:right w:type="dxa" w:w="100"/>
            </w:tcMar>
          </w:tcPr>
          <w:p>
            <w:pPr>
              <w:spacing w:after="0" w:line="240"/>
            </w:pPr>
            <w:r>
              <w:rPr>
                <w:sz w:val="17"/>
                <w:szCs w:val="17"/>
              </w:rPr>
              <w:t xml:space="preserve">97</w:t>
            </w:r>
          </w:p>
        </w:tc>
        <w:tc>
          <w:tcPr>
            <w:tcW w:type="dxa" w:w="1458"/>
            <w:shd w:fill="FFFFFF" w:val="clear"/>
            <w:tcMar>
              <w:top w:type="dxa" w:w="80"/>
              <w:left w:type="dxa" w:w="100"/>
              <w:bottom w:type="dxa" w:w="80"/>
              <w:right w:type="dxa" w:w="100"/>
            </w:tcMar>
          </w:tcPr>
          <w:p>
            <w:pPr>
              <w:spacing w:after="0" w:line="240"/>
            </w:pPr>
            <w:r>
              <w:rPr>
                <w:b/>
                <w:bCs/>
                <w:sz w:val="17"/>
                <w:szCs w:val="17"/>
              </w:rPr>
              <w:t xml:space="preserve">664</w:t>
            </w:r>
          </w:p>
        </w:tc>
      </w:tr>
    </w:tbl>
    <w:p>
      <w:pPr>
        <w:spacing w:after="200"/>
      </w:pPr>
      <w:r>
        <w:rPr>
          <w:sz w:val="8"/>
          <w:szCs w:val="8"/>
        </w:rPr>
        <w:t xml:space="preserve"/>
      </w:r>
    </w:p>
    <w:p>
      <w:pPr>
        <w:spacing w:after="40" w:before="200"/>
        <w:jc w:val="center"/>
      </w:pPr>
      <w:r>
        <w:drawing>
          <wp:inline distT="0" distB="0" distL="0" distR="0">
            <wp:extent cx="5524500" cy="2990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5524500" cy="2990850"/>
                    </a:xfrm>
                    <a:prstGeom prst="rect">
                      <a:avLst/>
                    </a:prstGeom>
                  </pic:spPr>
                </pic:pic>
              </a:graphicData>
            </a:graphic>
          </wp:inline>
        </w:drawing>
      </w:r>
    </w:p>
    <w:p>
      <w:pPr>
        <w:spacing w:after="240" w:before="40"/>
        <w:jc w:val="center"/>
      </w:pPr>
      <w:r>
        <w:rPr>
          <w:rFonts w:ascii="Calibri" w:cs="Calibri" w:eastAsia="Calibri" w:hAnsi="Calibri"/>
          <w:i/>
          <w:iCs/>
          <w:color w:val="4A6580"/>
          <w:sz w:val="17"/>
          <w:szCs w:val="17"/>
        </w:rPr>
        <w:t xml:space="preserve">CAPEX breakdown - AED 664m across six investment lines.</w:t>
      </w:r>
    </w:p>
    <w:p>
      <w:pPr>
        <w:spacing w:after="40" w:before="200"/>
        <w:jc w:val="center"/>
      </w:pPr>
      <w:r>
        <w:drawing>
          <wp:inline distT="0" distB="0" distL="0" distR="0">
            <wp:extent cx="5524500" cy="3552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5524500" cy="3552825"/>
                    </a:xfrm>
                    <a:prstGeom prst="rect">
                      <a:avLst/>
                    </a:prstGeom>
                  </pic:spPr>
                </pic:pic>
              </a:graphicData>
            </a:graphic>
          </wp:inline>
        </w:drawing>
      </w:r>
    </w:p>
    <w:p>
      <w:pPr>
        <w:spacing w:after="240" w:before="40"/>
        <w:jc w:val="center"/>
      </w:pPr>
      <w:r>
        <w:rPr>
          <w:rFonts w:ascii="Calibri" w:cs="Calibri" w:eastAsia="Calibri" w:hAnsi="Calibri"/>
          <w:i/>
          <w:iCs/>
          <w:color w:val="4A6580"/>
          <w:sz w:val="17"/>
          <w:szCs w:val="17"/>
        </w:rPr>
        <w:t xml:space="preserve">CAPEX phasing 2026-2029 - AED 41m / 247m / 279m / 97m.</w:t>
      </w:r>
    </w:p>
    <w:p>
      <w:pPr>
        <w:spacing w:after="160" w:line="300"/>
        <w:jc w:val="both"/>
      </w:pPr>
      <w:r>
        <w:t xml:space="preserve">Financing is modelled at </w:t>
      </w:r>
      <w:r>
        <w:rPr>
          <w:b/>
          <w:bCs/>
        </w:rPr>
        <w:t xml:space="preserve">60% debt / 40% equity</w:t>
      </w:r>
      <w:r>
        <w:t xml:space="preserve">, debt at 5.5% repaid over 10 years from 2029 - following the RetuRO green-loan precedent (ING, 2023). Peak funding requirement is </w:t>
      </w:r>
      <w:r>
        <w:rPr>
          <w:b/>
          <w:bCs/>
        </w:rPr>
        <w:t xml:space="preserve">AED 294 million</w:t>
      </w:r>
      <w:r>
        <w:t xml:space="preserve">.</w:t>
      </w:r>
    </w:p>
    <w:p>
      <w:pPr>
        <w:pStyle w:val="Heading2"/>
        <w:keepNext/>
        <w:spacing w:after="140" w:before="340"/>
      </w:pPr>
      <w:r>
        <w:rPr>
          <w:rFonts w:ascii="Georgia" w:cs="Georgia" w:eastAsia="Georgia" w:hAnsi="Georgia"/>
          <w:b/>
          <w:bCs/>
          <w:color w:val="1B2A4A"/>
          <w:sz w:val="30"/>
          <w:szCs w:val="30"/>
        </w:rPr>
        <w:t xml:space="preserve">10.4 Operating Expenditure: Trajectory to ~AED 1.08bn/yr</w:t>
      </w:r>
    </w:p>
    <w:p>
      <w:pPr>
        <w:spacing w:after="160" w:line="300"/>
        <w:jc w:val="both"/>
      </w:pPr>
      <w:r>
        <w:t xml:space="preserve">Steady-state OPEX reaches </w:t>
      </w:r>
      <w:r>
        <w:rPr>
          <w:b/>
          <w:bCs/>
        </w:rPr>
        <w:t xml:space="preserve">AED ~1.08 billion per year (2034)</w:t>
      </w:r>
      <w:r>
        <w:t xml:space="preserve">, equivalent to </w:t>
      </w:r>
      <w:r>
        <w:rPr>
          <w:b/>
          <w:bCs/>
        </w:rPr>
        <w:t xml:space="preserve">AED 0.29 per returned container</w:t>
      </w:r>
      <w:r>
        <w:t xml:space="preserve"> (AED 0.27 in year 1) - approximately </w:t>
      </w:r>
      <w:r>
        <w:rPr>
          <w:b/>
          <w:bCs/>
        </w:rPr>
        <w:t xml:space="preserve">€0.07</w:t>
      </w:r>
      <w:r>
        <w:t xml:space="preserve">, in line with Ireland's audited year-1 all-in cost of </w:t>
      </w:r>
      <w:r>
        <w:rPr>
          <w:b/>
          <w:bCs/>
        </w:rPr>
        <w:t xml:space="preserve">€0.071 per container</w:t>
      </w:r>
      <w:r>
        <w:t xml:space="preserve"> (direct cost €0.053) (Re-turn Annual Report, 2024, via CSNA, 2025).</w:t>
      </w:r>
    </w:p>
    <w:p>
      <w:pPr>
        <w:spacing w:after="40" w:before="200"/>
        <w:jc w:val="center"/>
      </w:pPr>
      <w:r>
        <w:drawing>
          <wp:inline distT="0" distB="0" distL="0" distR="0">
            <wp:extent cx="5524500" cy="3400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5524500" cy="3400425"/>
                    </a:xfrm>
                    <a:prstGeom prst="rect">
                      <a:avLst/>
                    </a:prstGeom>
                  </pic:spPr>
                </pic:pic>
              </a:graphicData>
            </a:graphic>
          </wp:inline>
        </w:drawing>
      </w:r>
    </w:p>
    <w:p>
      <w:pPr>
        <w:spacing w:after="240" w:before="40"/>
        <w:jc w:val="center"/>
      </w:pPr>
      <w:r>
        <w:rPr>
          <w:rFonts w:ascii="Calibri" w:cs="Calibri" w:eastAsia="Calibri" w:hAnsi="Calibri"/>
          <w:i/>
          <w:iCs/>
          <w:color w:val="4A6580"/>
          <w:sz w:val="17"/>
          <w:szCs w:val="17"/>
        </w:rPr>
        <w:t xml:space="preserve">Operating expenditure trajectory - rising with the return ramp to ~AED 1.08bn per year at steady state (2034).</w:t>
      </w:r>
    </w:p>
    <w:p>
      <w:pPr>
        <w:spacing w:after="40" w:before="200"/>
        <w:jc w:val="center"/>
      </w:pPr>
      <w:r>
        <w:drawing>
          <wp:inline distT="0" distB="0" distL="0" distR="0">
            <wp:extent cx="5524500" cy="3495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5524500" cy="3495675"/>
                    </a:xfrm>
                    <a:prstGeom prst="rect">
                      <a:avLst/>
                    </a:prstGeom>
                  </pic:spPr>
                </pic:pic>
              </a:graphicData>
            </a:graphic>
          </wp:inline>
        </w:drawing>
      </w:r>
    </w:p>
    <w:p>
      <w:pPr>
        <w:spacing w:after="240" w:before="40"/>
        <w:jc w:val="center"/>
      </w:pPr>
      <w:r>
        <w:rPr>
          <w:rFonts w:ascii="Calibri" w:cs="Calibri" w:eastAsia="Calibri" w:hAnsi="Calibri"/>
          <w:i/>
          <w:iCs/>
          <w:color w:val="4A6580"/>
          <w:sz w:val="17"/>
          <w:szCs w:val="17"/>
        </w:rPr>
        <w:t xml:space="preserve">Unit economics - cost per container handled, UAE trajectory vs the audited Ireland benchmark (FX estimate noted on-chart).</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2912"/>
        <w:gridCol w:w="2912"/>
        <w:gridCol w:w="2914"/>
      </w:tblGrid>
      <w:tr>
        <w:trPr>
          <w:tblHeader/>
        </w:trPr>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OPEX mix (steady state)</w:t>
            </w:r>
          </w:p>
        </w:tc>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Share</w:t>
            </w:r>
          </w:p>
        </w:tc>
        <w:tc>
          <w:tcPr>
            <w:tcW w:type="dxa" w:w="291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Comment</w:t>
            </w:r>
          </w:p>
        </w:tc>
      </w:tr>
      <w:tr>
        <w:tc>
          <w:tcPr>
            <w:tcW w:type="dxa" w:w="2912"/>
            <w:shd w:fill="FFFFFF" w:val="clear"/>
            <w:tcMar>
              <w:top w:type="dxa" w:w="80"/>
              <w:left w:type="dxa" w:w="100"/>
              <w:bottom w:type="dxa" w:w="80"/>
              <w:right w:type="dxa" w:w="100"/>
            </w:tcMar>
          </w:tcPr>
          <w:p>
            <w:pPr>
              <w:spacing w:after="0" w:line="240"/>
            </w:pPr>
            <w:r>
              <w:rPr>
                <w:sz w:val="17"/>
                <w:szCs w:val="17"/>
              </w:rPr>
              <w:t xml:space="preserve">Retailer handling fee (RHF)</w:t>
            </w:r>
          </w:p>
        </w:tc>
        <w:tc>
          <w:tcPr>
            <w:tcW w:type="dxa" w:w="2912"/>
            <w:shd w:fill="FFFFFF" w:val="clear"/>
            <w:tcMar>
              <w:top w:type="dxa" w:w="80"/>
              <w:left w:type="dxa" w:w="100"/>
              <w:bottom w:type="dxa" w:w="80"/>
              <w:right w:type="dxa" w:w="100"/>
            </w:tcMar>
          </w:tcPr>
          <w:p>
            <w:pPr>
              <w:spacing w:after="0" w:line="240"/>
            </w:pPr>
            <w:r>
              <w:rPr>
                <w:b/>
                <w:bCs/>
                <w:sz w:val="17"/>
                <w:szCs w:val="17"/>
              </w:rPr>
              <w:t xml:space="preserve">~35%</w:t>
            </w:r>
          </w:p>
        </w:tc>
        <w:tc>
          <w:tcPr>
            <w:tcW w:type="dxa" w:w="2914"/>
            <w:shd w:fill="FFFFFF" w:val="clear"/>
            <w:tcMar>
              <w:top w:type="dxa" w:w="80"/>
              <w:left w:type="dxa" w:w="100"/>
              <w:bottom w:type="dxa" w:w="80"/>
              <w:right w:type="dxa" w:w="100"/>
            </w:tcMar>
          </w:tcPr>
          <w:p>
            <w:pPr>
              <w:spacing w:after="0" w:line="240"/>
            </w:pPr>
            <w:r>
              <w:rPr>
                <w:sz w:val="17"/>
                <w:szCs w:val="17"/>
              </w:rPr>
              <w:t xml:space="preserve">AED 0.10/container - calibrated to Ireland's €0.022-0.026 (AED 0.088-0.104) and Lithuanian ranges up to €0.049 (CRI, 2024; Reloop, 2024)</w:t>
            </w:r>
          </w:p>
        </w:tc>
      </w:tr>
      <w:tr>
        <w:tc>
          <w:tcPr>
            <w:tcW w:type="dxa" w:w="2912"/>
            <w:shd w:fill="F5F1E8" w:val="clear"/>
            <w:tcMar>
              <w:top w:type="dxa" w:w="80"/>
              <w:left w:type="dxa" w:w="100"/>
              <w:bottom w:type="dxa" w:w="80"/>
              <w:right w:type="dxa" w:w="100"/>
            </w:tcMar>
          </w:tcPr>
          <w:p>
            <w:pPr>
              <w:spacing w:after="0" w:line="240"/>
            </w:pPr>
            <w:r>
              <w:rPr>
                <w:sz w:val="17"/>
                <w:szCs w:val="17"/>
              </w:rPr>
              <w:t xml:space="preserve">Logistics</w:t>
            </w:r>
          </w:p>
        </w:tc>
        <w:tc>
          <w:tcPr>
            <w:tcW w:type="dxa" w:w="2912"/>
            <w:shd w:fill="F5F1E8" w:val="clear"/>
            <w:tcMar>
              <w:top w:type="dxa" w:w="80"/>
              <w:left w:type="dxa" w:w="100"/>
              <w:bottom w:type="dxa" w:w="80"/>
              <w:right w:type="dxa" w:w="100"/>
            </w:tcMar>
          </w:tcPr>
          <w:p>
            <w:pPr>
              <w:spacing w:after="0" w:line="240"/>
            </w:pPr>
            <w:r>
              <w:rPr>
                <w:b/>
                <w:bCs/>
                <w:sz w:val="17"/>
                <w:szCs w:val="17"/>
              </w:rPr>
              <w:t xml:space="preserve">~21%</w:t>
            </w:r>
          </w:p>
        </w:tc>
        <w:tc>
          <w:tcPr>
            <w:tcW w:type="dxa" w:w="2914"/>
            <w:shd w:fill="F5F1E8" w:val="clear"/>
            <w:tcMar>
              <w:top w:type="dxa" w:w="80"/>
              <w:left w:type="dxa" w:w="100"/>
              <w:bottom w:type="dxa" w:w="80"/>
              <w:right w:type="dxa" w:w="100"/>
            </w:tcMar>
          </w:tcPr>
          <w:p>
            <w:pPr>
              <w:spacing w:after="0" w:line="240"/>
            </w:pPr>
            <w:r>
              <w:rPr>
                <w:sz w:val="17"/>
                <w:szCs w:val="17"/>
              </w:rPr>
              <w:t xml:space="preserve">Logistics + centre ops modelled at AED 0.11/container combined - residual of Ireland's €0.053/container direct cost after handling fees</w:t>
            </w:r>
          </w:p>
        </w:tc>
      </w:tr>
      <w:tr>
        <w:tc>
          <w:tcPr>
            <w:tcW w:type="dxa" w:w="2912"/>
            <w:shd w:fill="FFFFFF" w:val="clear"/>
            <w:tcMar>
              <w:top w:type="dxa" w:w="80"/>
              <w:left w:type="dxa" w:w="100"/>
              <w:bottom w:type="dxa" w:w="80"/>
              <w:right w:type="dxa" w:w="100"/>
            </w:tcMar>
          </w:tcPr>
          <w:p>
            <w:pPr>
              <w:spacing w:after="0" w:line="240"/>
            </w:pPr>
            <w:r>
              <w:rPr>
                <w:sz w:val="17"/>
                <w:szCs w:val="17"/>
              </w:rPr>
              <w:t xml:space="preserve">Counting/sorting centre operations</w:t>
            </w:r>
          </w:p>
        </w:tc>
        <w:tc>
          <w:tcPr>
            <w:tcW w:type="dxa" w:w="2912"/>
            <w:shd w:fill="FFFFFF" w:val="clear"/>
            <w:tcMar>
              <w:top w:type="dxa" w:w="80"/>
              <w:left w:type="dxa" w:w="100"/>
              <w:bottom w:type="dxa" w:w="80"/>
              <w:right w:type="dxa" w:w="100"/>
            </w:tcMar>
          </w:tcPr>
          <w:p>
            <w:pPr>
              <w:spacing w:after="0" w:line="240"/>
            </w:pPr>
            <w:r>
              <w:rPr>
                <w:b/>
                <w:bCs/>
                <w:sz w:val="17"/>
                <w:szCs w:val="17"/>
              </w:rPr>
              <w:t xml:space="preserve">~17%</w:t>
            </w:r>
          </w:p>
        </w:tc>
        <w:tc>
          <w:tcPr>
            <w:tcW w:type="dxa" w:w="2914"/>
            <w:shd w:fill="FFFFFF" w:val="clear"/>
            <w:tcMar>
              <w:top w:type="dxa" w:w="80"/>
              <w:left w:type="dxa" w:w="100"/>
              <w:bottom w:type="dxa" w:w="80"/>
              <w:right w:type="dxa" w:w="100"/>
            </w:tcMar>
          </w:tcPr>
          <w:p>
            <w:pPr>
              <w:spacing w:after="0" w:line="240"/>
            </w:pPr>
            <w:r>
              <w:rPr>
                <w:sz w:val="17"/>
                <w:szCs w:val="17"/>
              </w:rPr>
              <w:t xml:space="preserve">3 centres, Romania scale analogue</w:t>
            </w:r>
          </w:p>
        </w:tc>
      </w:tr>
      <w:tr>
        <w:tc>
          <w:tcPr>
            <w:tcW w:type="dxa" w:w="2912"/>
            <w:shd w:fill="F5F1E8" w:val="clear"/>
            <w:tcMar>
              <w:top w:type="dxa" w:w="80"/>
              <w:left w:type="dxa" w:w="100"/>
              <w:bottom w:type="dxa" w:w="80"/>
              <w:right w:type="dxa" w:w="100"/>
            </w:tcMar>
          </w:tcPr>
          <w:p>
            <w:pPr>
              <w:spacing w:after="0" w:line="240"/>
            </w:pPr>
            <w:r>
              <w:rPr>
                <w:sz w:val="17"/>
                <w:szCs w:val="17"/>
              </w:rPr>
              <w:t xml:space="preserve">Consumables</w:t>
            </w:r>
          </w:p>
        </w:tc>
        <w:tc>
          <w:tcPr>
            <w:tcW w:type="dxa" w:w="2912"/>
            <w:shd w:fill="F5F1E8" w:val="clear"/>
            <w:tcMar>
              <w:top w:type="dxa" w:w="80"/>
              <w:left w:type="dxa" w:w="100"/>
              <w:bottom w:type="dxa" w:w="80"/>
              <w:right w:type="dxa" w:w="100"/>
            </w:tcMar>
          </w:tcPr>
          <w:p>
            <w:pPr>
              <w:spacing w:after="0" w:line="240"/>
            </w:pPr>
            <w:r>
              <w:rPr>
                <w:sz w:val="17"/>
                <w:szCs w:val="17"/>
              </w:rPr>
              <w:t xml:space="preserve">~3%</w:t>
            </w:r>
          </w:p>
        </w:tc>
        <w:tc>
          <w:tcPr>
            <w:tcW w:type="dxa" w:w="2914"/>
            <w:shd w:fill="F5F1E8" w:val="clear"/>
            <w:tcMar>
              <w:top w:type="dxa" w:w="80"/>
              <w:left w:type="dxa" w:w="100"/>
              <w:bottom w:type="dxa" w:w="80"/>
              <w:right w:type="dxa" w:w="100"/>
            </w:tcMar>
          </w:tcPr>
          <w:p>
            <w:pPr>
              <w:spacing w:after="0" w:line="240"/>
            </w:pPr>
            <w:r>
              <w:rPr>
                <w:sz w:val="17"/>
                <w:szCs w:val="17"/>
              </w:rPr>
              <w:t xml:space="preserve"/>
            </w:r>
          </w:p>
        </w:tc>
      </w:tr>
      <w:tr>
        <w:tc>
          <w:tcPr>
            <w:tcW w:type="dxa" w:w="2912"/>
            <w:shd w:fill="FFFFFF" w:val="clear"/>
            <w:tcMar>
              <w:top w:type="dxa" w:w="80"/>
              <w:left w:type="dxa" w:w="100"/>
              <w:bottom w:type="dxa" w:w="80"/>
              <w:right w:type="dxa" w:w="100"/>
            </w:tcMar>
          </w:tcPr>
          <w:p>
            <w:pPr>
              <w:spacing w:after="0" w:line="240"/>
            </w:pPr>
            <w:r>
              <w:rPr>
                <w:sz w:val="17"/>
                <w:szCs w:val="17"/>
              </w:rPr>
              <w:t xml:space="preserve">Maintenance, IT, administration, awareness</w:t>
            </w:r>
          </w:p>
        </w:tc>
        <w:tc>
          <w:tcPr>
            <w:tcW w:type="dxa" w:w="2912"/>
            <w:shd w:fill="FFFFFF" w:val="clear"/>
            <w:tcMar>
              <w:top w:type="dxa" w:w="80"/>
              <w:left w:type="dxa" w:w="100"/>
              <w:bottom w:type="dxa" w:w="80"/>
              <w:right w:type="dxa" w:w="100"/>
            </w:tcMar>
          </w:tcPr>
          <w:p>
            <w:pPr>
              <w:spacing w:after="0" w:line="240"/>
            </w:pPr>
            <w:r>
              <w:rPr>
                <w:sz w:val="17"/>
                <w:szCs w:val="17"/>
              </w:rPr>
              <w:t xml:space="preserve">~14%</w:t>
            </w:r>
          </w:p>
        </w:tc>
        <w:tc>
          <w:tcPr>
            <w:tcW w:type="dxa" w:w="2914"/>
            <w:shd w:fill="FFFFFF" w:val="clear"/>
            <w:tcMar>
              <w:top w:type="dxa" w:w="80"/>
              <w:left w:type="dxa" w:w="100"/>
              <w:bottom w:type="dxa" w:w="80"/>
              <w:right w:type="dxa" w:w="100"/>
            </w:tcMar>
          </w:tcPr>
          <w:p>
            <w:pPr>
              <w:spacing w:after="0" w:line="240"/>
            </w:pPr>
            <w:r>
              <w:rPr>
                <w:sz w:val="17"/>
                <w:szCs w:val="17"/>
              </w:rPr>
              <w:t xml:space="preserve">RVM maintenance AED 4,400/machine/yr (~USD 1,200 benchmark; Market Growth Reports, 2026)</w:t>
            </w:r>
          </w:p>
        </w:tc>
      </w:tr>
      <w:tr>
        <w:tc>
          <w:tcPr>
            <w:tcW w:type="dxa" w:w="2912"/>
            <w:shd w:fill="F5F1E8" w:val="clear"/>
            <w:tcMar>
              <w:top w:type="dxa" w:w="80"/>
              <w:left w:type="dxa" w:w="100"/>
              <w:bottom w:type="dxa" w:w="80"/>
              <w:right w:type="dxa" w:w="100"/>
            </w:tcMar>
          </w:tcPr>
          <w:p>
            <w:pPr>
              <w:spacing w:after="0" w:line="240"/>
            </w:pPr>
            <w:r>
              <w:rPr>
                <w:sz w:val="17"/>
                <w:szCs w:val="17"/>
              </w:rPr>
              <w:t xml:space="preserve">Operations management fee (OMF - Segen)</w:t>
            </w:r>
          </w:p>
        </w:tc>
        <w:tc>
          <w:tcPr>
            <w:tcW w:type="dxa" w:w="2912"/>
            <w:shd w:fill="F5F1E8" w:val="clear"/>
            <w:tcMar>
              <w:top w:type="dxa" w:w="80"/>
              <w:left w:type="dxa" w:w="100"/>
              <w:bottom w:type="dxa" w:w="80"/>
              <w:right w:type="dxa" w:w="100"/>
            </w:tcMar>
          </w:tcPr>
          <w:p>
            <w:pPr>
              <w:spacing w:after="0" w:line="240"/>
            </w:pPr>
            <w:r>
              <w:rPr>
                <w:b/>
                <w:bCs/>
                <w:sz w:val="17"/>
                <w:szCs w:val="17"/>
              </w:rPr>
              <w:t xml:space="preserve">~9%</w:t>
            </w:r>
          </w:p>
        </w:tc>
        <w:tc>
          <w:tcPr>
            <w:tcW w:type="dxa" w:w="2914"/>
            <w:shd w:fill="F5F1E8" w:val="clear"/>
            <w:tcMar>
              <w:top w:type="dxa" w:w="80"/>
              <w:left w:type="dxa" w:w="100"/>
              <w:bottom w:type="dxa" w:w="80"/>
              <w:right w:type="dxa" w:w="100"/>
            </w:tcMar>
          </w:tcPr>
          <w:p>
            <w:pPr>
              <w:spacing w:after="0" w:line="240"/>
            </w:pPr>
            <w:r>
              <w:rPr>
                <w:sz w:val="17"/>
                <w:szCs w:val="17"/>
              </w:rPr>
              <w:t xml:space="preserve">Fixed AED 25m/yr - Segen's operations-management income</w:t>
            </w:r>
          </w:p>
        </w:tc>
      </w:tr>
    </w:tbl>
    <w:p>
      <w:pPr>
        <w:spacing w:after="200"/>
      </w:pPr>
      <w:r>
        <w:rPr>
          <w:sz w:val="8"/>
          <w:szCs w:val="8"/>
        </w:rPr>
        <w:t xml:space="preserve"/>
      </w:r>
    </w:p>
    <w:p>
      <w:pPr>
        <w:spacing w:after="160" w:line="300"/>
        <w:jc w:val="both"/>
      </w:pPr>
      <w:r>
        <w:t xml:space="preserve">The cost architecture mirrors audited European structures: in the European benchmark operations system (Lithuania), retailer compensation, logistics and administration account for 74%/12%/14% of expenses respectively (Reloop, 2024).</w:t>
      </w:r>
    </w:p>
    <w:p>
      <w:pPr>
        <w:pStyle w:val="Heading2"/>
        <w:keepNext/>
        <w:spacing w:after="140" w:before="340"/>
      </w:pPr>
      <w:r>
        <w:rPr>
          <w:rFonts w:ascii="Georgia" w:cs="Georgia" w:eastAsia="Georgia" w:hAnsi="Georgia"/>
          <w:b/>
          <w:bCs/>
          <w:color w:val="1B2A4A"/>
          <w:sz w:val="30"/>
          <w:szCs w:val="30"/>
        </w:rPr>
        <w:t xml:space="preserve">10.5 Revenue Architecture: Designed for the Steady State</w:t>
      </w:r>
    </w:p>
    <w:p>
      <w:pPr>
        <w:spacing w:after="160" w:line="300"/>
        <w:jc w:val="both"/>
      </w:pPr>
      <w:r>
        <w:t xml:space="preserve">Steady-state revenue (2034) is </w:t>
      </w:r>
      <w:r>
        <w:rPr>
          <w:b/>
          <w:bCs/>
        </w:rPr>
        <w:t xml:space="preserve">AED ~1.10 billion per year</w:t>
      </w:r>
      <w:r>
        <w:t xml:space="preserve">, structured on two legs only:</w:t>
      </w:r>
    </w:p>
    <w:p>
      <w:pPr>
        <w:spacing w:after="40" w:before="200"/>
        <w:jc w:val="center"/>
      </w:pPr>
      <w:r>
        <w:drawing>
          <wp:inline distT="0" distB="0" distL="0" distR="0">
            <wp:extent cx="5524500" cy="3524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5524500" cy="3524250"/>
                    </a:xfrm>
                    <a:prstGeom prst="rect">
                      <a:avLst/>
                    </a:prstGeom>
                  </pic:spPr>
                </pic:pic>
              </a:graphicData>
            </a:graphic>
          </wp:inline>
        </w:drawing>
      </w:r>
    </w:p>
    <w:p>
      <w:pPr>
        <w:spacing w:after="240" w:before="40"/>
        <w:jc w:val="center"/>
      </w:pPr>
      <w:r>
        <w:rPr>
          <w:rFonts w:ascii="Calibri" w:cs="Calibri" w:eastAsia="Calibri" w:hAnsi="Calibri"/>
          <w:i/>
          <w:iCs/>
          <w:color w:val="4A6580"/>
          <w:sz w:val="17"/>
          <w:szCs w:val="17"/>
        </w:rPr>
        <w:t xml:space="preserve">Steady-state revenue architecture - producer fees ~70%, material sales ~30%; unredeemed deposits excluded by design.</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2912"/>
        <w:gridCol w:w="2912"/>
        <w:gridCol w:w="2914"/>
      </w:tblGrid>
      <w:tr>
        <w:trPr>
          <w:tblHeader/>
        </w:trPr>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Revenue line</w:t>
            </w:r>
          </w:p>
        </w:tc>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AED m/yr</w:t>
            </w:r>
          </w:p>
        </w:tc>
        <w:tc>
          <w:tcPr>
            <w:tcW w:type="dxa" w:w="291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Share</w:t>
            </w:r>
          </w:p>
        </w:tc>
      </w:tr>
      <w:tr>
        <w:tc>
          <w:tcPr>
            <w:tcW w:type="dxa" w:w="2912"/>
            <w:shd w:fill="FFFFFF" w:val="clear"/>
            <w:tcMar>
              <w:top w:type="dxa" w:w="80"/>
              <w:left w:type="dxa" w:w="100"/>
              <w:bottom w:type="dxa" w:w="80"/>
              <w:right w:type="dxa" w:w="100"/>
            </w:tcMar>
          </w:tcPr>
          <w:p>
            <w:pPr>
              <w:spacing w:after="0" w:line="240"/>
            </w:pPr>
            <w:r>
              <w:rPr>
                <w:sz w:val="17"/>
                <w:szCs w:val="17"/>
              </w:rPr>
              <w:t xml:space="preserve">Producer fees (on all placed-on-market units)</w:t>
            </w:r>
          </w:p>
        </w:tc>
        <w:tc>
          <w:tcPr>
            <w:tcW w:type="dxa" w:w="2912"/>
            <w:shd w:fill="FFFFFF" w:val="clear"/>
            <w:tcMar>
              <w:top w:type="dxa" w:w="80"/>
              <w:left w:type="dxa" w:w="100"/>
              <w:bottom w:type="dxa" w:w="80"/>
              <w:right w:type="dxa" w:w="100"/>
            </w:tcMar>
          </w:tcPr>
          <w:p>
            <w:pPr>
              <w:spacing w:after="0" w:line="240"/>
            </w:pPr>
            <w:r>
              <w:rPr>
                <w:b/>
                <w:bCs/>
                <w:sz w:val="17"/>
                <w:szCs w:val="17"/>
              </w:rPr>
              <w:t xml:space="preserve">771</w:t>
            </w:r>
          </w:p>
        </w:tc>
        <w:tc>
          <w:tcPr>
            <w:tcW w:type="dxa" w:w="2914"/>
            <w:shd w:fill="FFFFFF" w:val="clear"/>
            <w:tcMar>
              <w:top w:type="dxa" w:w="80"/>
              <w:left w:type="dxa" w:w="100"/>
              <w:bottom w:type="dxa" w:w="80"/>
              <w:right w:type="dxa" w:w="100"/>
            </w:tcMar>
          </w:tcPr>
          <w:p>
            <w:pPr>
              <w:spacing w:after="0" w:line="240"/>
            </w:pPr>
            <w:r>
              <w:rPr>
                <w:b/>
                <w:bCs/>
                <w:sz w:val="17"/>
                <w:szCs w:val="17"/>
              </w:rPr>
              <w:t xml:space="preserve">70%</w:t>
            </w:r>
          </w:p>
        </w:tc>
      </w:tr>
      <w:tr>
        <w:tc>
          <w:tcPr>
            <w:tcW w:type="dxa" w:w="2912"/>
            <w:shd w:fill="F5F1E8" w:val="clear"/>
            <w:tcMar>
              <w:top w:type="dxa" w:w="80"/>
              <w:left w:type="dxa" w:w="100"/>
              <w:bottom w:type="dxa" w:w="80"/>
              <w:right w:type="dxa" w:w="100"/>
            </w:tcMar>
          </w:tcPr>
          <w:p>
            <w:pPr>
              <w:spacing w:after="0" w:line="240"/>
            </w:pPr>
            <w:r>
              <w:rPr>
                <w:sz w:val="17"/>
                <w:szCs w:val="17"/>
              </w:rPr>
              <w:t xml:space="preserve">Recovered-material sales</w:t>
            </w:r>
          </w:p>
        </w:tc>
        <w:tc>
          <w:tcPr>
            <w:tcW w:type="dxa" w:w="2912"/>
            <w:shd w:fill="F5F1E8" w:val="clear"/>
            <w:tcMar>
              <w:top w:type="dxa" w:w="80"/>
              <w:left w:type="dxa" w:w="100"/>
              <w:bottom w:type="dxa" w:w="80"/>
              <w:right w:type="dxa" w:w="100"/>
            </w:tcMar>
          </w:tcPr>
          <w:p>
            <w:pPr>
              <w:spacing w:after="0" w:line="240"/>
            </w:pPr>
            <w:r>
              <w:rPr>
                <w:b/>
                <w:bCs/>
                <w:sz w:val="17"/>
                <w:szCs w:val="17"/>
              </w:rPr>
              <w:t xml:space="preserve">331</w:t>
            </w:r>
          </w:p>
        </w:tc>
        <w:tc>
          <w:tcPr>
            <w:tcW w:type="dxa" w:w="2914"/>
            <w:shd w:fill="F5F1E8" w:val="clear"/>
            <w:tcMar>
              <w:top w:type="dxa" w:w="80"/>
              <w:left w:type="dxa" w:w="100"/>
              <w:bottom w:type="dxa" w:w="80"/>
              <w:right w:type="dxa" w:w="100"/>
            </w:tcMar>
          </w:tcPr>
          <w:p>
            <w:pPr>
              <w:spacing w:after="0" w:line="240"/>
            </w:pPr>
            <w:r>
              <w:rPr>
                <w:b/>
                <w:bCs/>
                <w:sz w:val="17"/>
                <w:szCs w:val="17"/>
              </w:rPr>
              <w:t xml:space="preserve">30%</w:t>
            </w:r>
          </w:p>
        </w:tc>
      </w:tr>
      <w:tr>
        <w:tc>
          <w:tcPr>
            <w:tcW w:type="dxa" w:w="2912"/>
            <w:shd w:fill="FFFFFF" w:val="clear"/>
            <w:tcMar>
              <w:top w:type="dxa" w:w="80"/>
              <w:left w:type="dxa" w:w="100"/>
              <w:bottom w:type="dxa" w:w="80"/>
              <w:right w:type="dxa" w:w="100"/>
            </w:tcMar>
          </w:tcPr>
          <w:p>
            <w:pPr>
              <w:spacing w:after="0" w:line="240"/>
            </w:pPr>
            <w:r>
              <w:rPr>
                <w:sz w:val="17"/>
                <w:szCs w:val="17"/>
              </w:rPr>
              <w:t xml:space="preserve">Unredeemed deposits</w:t>
            </w:r>
          </w:p>
        </w:tc>
        <w:tc>
          <w:tcPr>
            <w:tcW w:type="dxa" w:w="2912"/>
            <w:shd w:fill="FFFFFF" w:val="clear"/>
            <w:tcMar>
              <w:top w:type="dxa" w:w="80"/>
              <w:left w:type="dxa" w:w="100"/>
              <w:bottom w:type="dxa" w:w="80"/>
              <w:right w:type="dxa" w:w="100"/>
            </w:tcMar>
          </w:tcPr>
          <w:p>
            <w:pPr>
              <w:spacing w:after="0" w:line="240"/>
            </w:pPr>
            <w:r>
              <w:rPr>
                <w:b/>
                <w:bCs/>
                <w:sz w:val="17"/>
                <w:szCs w:val="17"/>
              </w:rPr>
              <w:t xml:space="preserve">0</w:t>
            </w:r>
          </w:p>
        </w:tc>
        <w:tc>
          <w:tcPr>
            <w:tcW w:type="dxa" w:w="2914"/>
            <w:shd w:fill="FFFFFF" w:val="clear"/>
            <w:tcMar>
              <w:top w:type="dxa" w:w="80"/>
              <w:left w:type="dxa" w:w="100"/>
              <w:bottom w:type="dxa" w:w="80"/>
              <w:right w:type="dxa" w:w="100"/>
            </w:tcMar>
          </w:tcPr>
          <w:p>
            <w:pPr>
              <w:spacing w:after="0" w:line="240"/>
            </w:pPr>
            <w:r>
              <w:rPr>
                <w:b/>
                <w:bCs/>
                <w:sz w:val="17"/>
                <w:szCs w:val="17"/>
              </w:rPr>
              <w:t xml:space="preserve">0%</w:t>
            </w:r>
            <w:r>
              <w:rPr>
                <w:sz w:val="17"/>
                <w:szCs w:val="17"/>
              </w:rPr>
              <w:t xml:space="preserve"> - escrowed, never revenue (see §10.6)</w:t>
            </w:r>
          </w:p>
        </w:tc>
      </w:tr>
    </w:tbl>
    <w:p>
      <w:pPr>
        <w:spacing w:after="200"/>
      </w:pPr>
      <w:r>
        <w:rPr>
          <w:sz w:val="8"/>
          <w:szCs w:val="8"/>
        </w:rPr>
        <w:t xml:space="preserve"/>
      </w:r>
    </w:p>
    <w:p>
      <w:pPr>
        <w:pStyle w:val="Heading3"/>
        <w:keepNext/>
        <w:spacing w:after="110" w:before="260"/>
      </w:pPr>
      <w:r>
        <w:rPr>
          <w:rFonts w:ascii="Calibri" w:cs="Calibri" w:eastAsia="Calibri" w:hAnsi="Calibri"/>
          <w:b/>
          <w:bCs/>
          <w:color w:val="4A6580"/>
          <w:sz w:val="24"/>
          <w:szCs w:val="24"/>
        </w:rPr>
        <w:t xml:space="preserve">10.5.1 Producer fees (recommended, non-binding)</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2184"/>
        <w:gridCol w:w="2184"/>
        <w:gridCol w:w="2184"/>
        <w:gridCol w:w="2186"/>
      </w:tblGrid>
      <w:tr>
        <w:trPr>
          <w:tblHeader/>
        </w:trPr>
        <w:tc>
          <w:tcPr>
            <w:tcW w:type="dxa" w:w="218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Material</w:t>
            </w:r>
          </w:p>
        </w:tc>
        <w:tc>
          <w:tcPr>
            <w:tcW w:type="dxa" w:w="218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Fee (AED/container)</w:t>
            </w:r>
          </w:p>
        </w:tc>
        <w:tc>
          <w:tcPr>
            <w:tcW w:type="dxa" w:w="218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 EUR</w:t>
            </w:r>
          </w:p>
        </w:tc>
        <w:tc>
          <w:tcPr>
            <w:tcW w:type="dxa" w:w="2186"/>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Benchmark anchor</w:t>
            </w:r>
          </w:p>
        </w:tc>
      </w:tr>
      <w:tr>
        <w:tc>
          <w:tcPr>
            <w:tcW w:type="dxa" w:w="2184"/>
            <w:shd w:fill="FFFFFF" w:val="clear"/>
            <w:tcMar>
              <w:top w:type="dxa" w:w="80"/>
              <w:left w:type="dxa" w:w="100"/>
              <w:bottom w:type="dxa" w:w="80"/>
              <w:right w:type="dxa" w:w="100"/>
            </w:tcMar>
          </w:tcPr>
          <w:p>
            <w:pPr>
              <w:spacing w:after="0" w:line="240"/>
            </w:pPr>
            <w:r>
              <w:rPr>
                <w:b/>
                <w:bCs/>
                <w:sz w:val="17"/>
                <w:szCs w:val="17"/>
              </w:rPr>
              <w:t xml:space="preserve">PET</w:t>
            </w:r>
          </w:p>
        </w:tc>
        <w:tc>
          <w:tcPr>
            <w:tcW w:type="dxa" w:w="2184"/>
            <w:shd w:fill="FFFFFF" w:val="clear"/>
            <w:tcMar>
              <w:top w:type="dxa" w:w="80"/>
              <w:left w:type="dxa" w:w="100"/>
              <w:bottom w:type="dxa" w:w="80"/>
              <w:right w:type="dxa" w:w="100"/>
            </w:tcMar>
          </w:tcPr>
          <w:p>
            <w:pPr>
              <w:spacing w:after="0" w:line="240"/>
            </w:pPr>
            <w:r>
              <w:rPr>
                <w:b/>
                <w:bCs/>
                <w:sz w:val="17"/>
                <w:szCs w:val="17"/>
              </w:rPr>
              <w:t xml:space="preserve">0.20</w:t>
            </w:r>
          </w:p>
        </w:tc>
        <w:tc>
          <w:tcPr>
            <w:tcW w:type="dxa" w:w="2184"/>
            <w:shd w:fill="FFFFFF" w:val="clear"/>
            <w:tcMar>
              <w:top w:type="dxa" w:w="80"/>
              <w:left w:type="dxa" w:w="100"/>
              <w:bottom w:type="dxa" w:w="80"/>
              <w:right w:type="dxa" w:w="100"/>
            </w:tcMar>
          </w:tcPr>
          <w:p>
            <w:pPr>
              <w:spacing w:after="0" w:line="240"/>
            </w:pPr>
            <w:r>
              <w:rPr>
                <w:sz w:val="17"/>
                <w:szCs w:val="17"/>
              </w:rPr>
              <w:t xml:space="preserve">€0.050</w:t>
            </w:r>
          </w:p>
        </w:tc>
        <w:tc>
          <w:tcPr>
            <w:tcW w:type="dxa" w:w="2186"/>
            <w:shd w:fill="FFFFFF" w:val="clear"/>
            <w:tcMar>
              <w:top w:type="dxa" w:w="80"/>
              <w:left w:type="dxa" w:w="100"/>
              <w:bottom w:type="dxa" w:w="80"/>
              <w:right w:type="dxa" w:w="100"/>
            </w:tcMar>
          </w:tcPr>
          <w:p>
            <w:pPr>
              <w:spacing w:after="0" w:line="240"/>
            </w:pPr>
            <w:r>
              <w:rPr>
                <w:sz w:val="17"/>
                <w:szCs w:val="17"/>
              </w:rPr>
              <w:t xml:space="preserve">Lithuania €0.044 (AED 0.176) plus replacement of the ~17% unredeemed-deposit revenue share the operator forgoes; EU planning range €0.01-0.05 (Eunomia, 2025). Ireland's €0.02 is </w:t>
            </w:r>
            <w:r>
              <w:rPr>
                <w:i/>
                <w:iCs/>
                <w:sz w:val="17"/>
                <w:szCs w:val="17"/>
              </w:rPr>
              <w:t xml:space="preserve">not</w:t>
            </w:r>
            <w:r>
              <w:rPr>
                <w:sz w:val="17"/>
                <w:szCs w:val="17"/>
              </w:rPr>
              <w:t xml:space="preserve"> cost-covering - its year-1 surplus was unredeemed-deposit-driven (CSNA, 2025)</w:t>
            </w:r>
          </w:p>
        </w:tc>
      </w:tr>
      <w:tr>
        <w:tc>
          <w:tcPr>
            <w:tcW w:type="dxa" w:w="2184"/>
            <w:shd w:fill="F5F1E8" w:val="clear"/>
            <w:tcMar>
              <w:top w:type="dxa" w:w="80"/>
              <w:left w:type="dxa" w:w="100"/>
              <w:bottom w:type="dxa" w:w="80"/>
              <w:right w:type="dxa" w:w="100"/>
            </w:tcMar>
          </w:tcPr>
          <w:p>
            <w:pPr>
              <w:spacing w:after="0" w:line="240"/>
            </w:pPr>
            <w:r>
              <w:rPr>
                <w:b/>
                <w:bCs/>
                <w:sz w:val="17"/>
                <w:szCs w:val="17"/>
              </w:rPr>
              <w:t xml:space="preserve">Aluminium</w:t>
            </w:r>
          </w:p>
        </w:tc>
        <w:tc>
          <w:tcPr>
            <w:tcW w:type="dxa" w:w="2184"/>
            <w:shd w:fill="F5F1E8" w:val="clear"/>
            <w:tcMar>
              <w:top w:type="dxa" w:w="80"/>
              <w:left w:type="dxa" w:w="100"/>
              <w:bottom w:type="dxa" w:w="80"/>
              <w:right w:type="dxa" w:w="100"/>
            </w:tcMar>
          </w:tcPr>
          <w:p>
            <w:pPr>
              <w:spacing w:after="0" w:line="240"/>
            </w:pPr>
            <w:r>
              <w:rPr>
                <w:b/>
                <w:bCs/>
                <w:sz w:val="17"/>
                <w:szCs w:val="17"/>
              </w:rPr>
              <w:t xml:space="preserve">0.08</w:t>
            </w:r>
          </w:p>
        </w:tc>
        <w:tc>
          <w:tcPr>
            <w:tcW w:type="dxa" w:w="2184"/>
            <w:shd w:fill="F5F1E8" w:val="clear"/>
            <w:tcMar>
              <w:top w:type="dxa" w:w="80"/>
              <w:left w:type="dxa" w:w="100"/>
              <w:bottom w:type="dxa" w:w="80"/>
              <w:right w:type="dxa" w:w="100"/>
            </w:tcMar>
          </w:tcPr>
          <w:p>
            <w:pPr>
              <w:spacing w:after="0" w:line="240"/>
            </w:pPr>
            <w:r>
              <w:rPr>
                <w:sz w:val="17"/>
                <w:szCs w:val="17"/>
              </w:rPr>
              <w:t xml:space="preserve">€0.020</w:t>
            </w:r>
          </w:p>
        </w:tc>
        <w:tc>
          <w:tcPr>
            <w:tcW w:type="dxa" w:w="2186"/>
            <w:shd w:fill="F5F1E8" w:val="clear"/>
            <w:tcMar>
              <w:top w:type="dxa" w:w="80"/>
              <w:left w:type="dxa" w:w="100"/>
              <w:bottom w:type="dxa" w:w="80"/>
              <w:right w:type="dxa" w:w="100"/>
            </w:tcMar>
          </w:tcPr>
          <w:p>
            <w:pPr>
              <w:spacing w:after="0" w:line="240"/>
            </w:pPr>
            <w:r>
              <w:rPr>
                <w:sz w:val="17"/>
                <w:szCs w:val="17"/>
              </w:rPr>
              <w:t xml:space="preserve">Ireland €0.0125, Lithuania €0.019 (CRI, 2024; Reloop, 2024); high UBC value (~AED 6,600/t base) cross-subsidises - Norway, Sweden and Slovakia run zero or negative can fees</w:t>
            </w:r>
          </w:p>
        </w:tc>
      </w:tr>
      <w:tr>
        <w:tc>
          <w:tcPr>
            <w:tcW w:type="dxa" w:w="2184"/>
            <w:shd w:fill="FFFFFF" w:val="clear"/>
            <w:tcMar>
              <w:top w:type="dxa" w:w="80"/>
              <w:left w:type="dxa" w:w="100"/>
              <w:bottom w:type="dxa" w:w="80"/>
              <w:right w:type="dxa" w:w="100"/>
            </w:tcMar>
          </w:tcPr>
          <w:p>
            <w:pPr>
              <w:spacing w:after="0" w:line="240"/>
            </w:pPr>
            <w:r>
              <w:rPr>
                <w:b/>
                <w:bCs/>
                <w:sz w:val="17"/>
                <w:szCs w:val="17"/>
              </w:rPr>
              <w:t xml:space="preserve">Glass</w:t>
            </w:r>
          </w:p>
        </w:tc>
        <w:tc>
          <w:tcPr>
            <w:tcW w:type="dxa" w:w="2184"/>
            <w:shd w:fill="FFFFFF" w:val="clear"/>
            <w:tcMar>
              <w:top w:type="dxa" w:w="80"/>
              <w:left w:type="dxa" w:w="100"/>
              <w:bottom w:type="dxa" w:w="80"/>
              <w:right w:type="dxa" w:w="100"/>
            </w:tcMar>
          </w:tcPr>
          <w:p>
            <w:pPr>
              <w:spacing w:after="0" w:line="240"/>
            </w:pPr>
            <w:r>
              <w:rPr>
                <w:b/>
                <w:bCs/>
                <w:sz w:val="17"/>
                <w:szCs w:val="17"/>
              </w:rPr>
              <w:t xml:space="preserve">0.24</w:t>
            </w:r>
          </w:p>
        </w:tc>
        <w:tc>
          <w:tcPr>
            <w:tcW w:type="dxa" w:w="2184"/>
            <w:shd w:fill="FFFFFF" w:val="clear"/>
            <w:tcMar>
              <w:top w:type="dxa" w:w="80"/>
              <w:left w:type="dxa" w:w="100"/>
              <w:bottom w:type="dxa" w:w="80"/>
              <w:right w:type="dxa" w:w="100"/>
            </w:tcMar>
          </w:tcPr>
          <w:p>
            <w:pPr>
              <w:spacing w:after="0" w:line="240"/>
            </w:pPr>
            <w:r>
              <w:rPr>
                <w:sz w:val="17"/>
                <w:szCs w:val="17"/>
              </w:rPr>
              <w:t xml:space="preserve">€0.060</w:t>
            </w:r>
          </w:p>
        </w:tc>
        <w:tc>
          <w:tcPr>
            <w:tcW w:type="dxa" w:w="2186"/>
            <w:shd w:fill="FFFFFF" w:val="clear"/>
            <w:tcMar>
              <w:top w:type="dxa" w:w="80"/>
              <w:left w:type="dxa" w:w="100"/>
              <w:bottom w:type="dxa" w:w="80"/>
              <w:right w:type="dxa" w:w="100"/>
            </w:tcMar>
          </w:tcPr>
          <w:p>
            <w:pPr>
              <w:spacing w:after="0" w:line="240"/>
            </w:pPr>
            <w:r>
              <w:rPr>
                <w:sz w:val="17"/>
                <w:szCs w:val="17"/>
              </w:rPr>
              <w:t xml:space="preserve">Lithuania €0.055 (AED 0.22), Malta €0.037; glass is a net-cost stream - cullet at AED 440/t rarely covers collection logistics (IndexBox, 2024)</w:t>
            </w:r>
          </w:p>
        </w:tc>
      </w:tr>
    </w:tbl>
    <w:p>
      <w:pPr>
        <w:spacing w:after="200"/>
      </w:pPr>
      <w:r>
        <w:rPr>
          <w:sz w:val="8"/>
          <w:szCs w:val="8"/>
        </w:rPr>
        <w:t xml:space="preserve"/>
      </w:r>
    </w:p>
    <w:p>
      <w:pPr>
        <w:spacing w:after="160" w:line="300"/>
        <w:jc w:val="both"/>
      </w:pPr>
      <w:r>
        <w:rPr>
          <w:b/>
          <w:bCs/>
        </w:rPr>
        <w:t xml:space="preserve">Rationale.</w:t>
      </w:r>
      <w:r>
        <w:t xml:space="preserve"> Fees are calibrated so that producer fees + material sales ≈ </w:t>
      </w:r>
      <w:r>
        <w:rPr>
          <w:b/>
          <w:bCs/>
        </w:rPr>
        <w:t xml:space="preserve">1.05-1.10 × system costs at 90% redemption</w:t>
      </w:r>
      <w:r>
        <w:t xml:space="preserve">, charged on </w:t>
      </w:r>
      <w:r>
        <w:rPr>
          <w:b/>
          <w:bCs/>
        </w:rPr>
        <w:t xml:space="preserve">all</w:t>
      </w:r>
      <w:r>
        <w:t xml:space="preserve"> placed-on-market units (Hungary MOHU monthly model; Grant Thornton, 2025), with an </w:t>
      </w:r>
      <w:r>
        <w:rPr>
          <w:b/>
          <w:bCs/>
        </w:rPr>
        <w:t xml:space="preserve">annual cost-recovery review</w:t>
      </w:r>
      <w:r>
        <w:t xml:space="preserve"> (Ireland/Latvia-Deloitte methodology precedent; DIO, 2024). Eco-modulation (coloured PET, sleeves) is deferred to the first review.</w:t>
      </w:r>
    </w:p>
    <w:p>
      <w:pPr>
        <w:spacing w:after="160" w:line="300"/>
        <w:jc w:val="both"/>
      </w:pPr>
      <w:r>
        <w:t xml:space="preserve">This is the decisive structural choice of the UAE design. In the European benchmark literature, unredeemed deposits typically fund a large share of system revenue; under the Segen model that role is </w:t>
      </w:r>
      <w:r>
        <w:rPr>
          <w:b/>
          <w:bCs/>
        </w:rPr>
        <w:t xml:space="preserve">replaced by producer fees</w:t>
      </w:r>
      <w:r>
        <w:t xml:space="preserve"> - which is why the recommended UAE fees sit at the </w:t>
      </w:r>
      <w:r>
        <w:rPr>
          <w:b/>
          <w:bCs/>
        </w:rPr>
        <w:t xml:space="preserve">top of, but within, the EU range</w:t>
      </w:r>
      <w:r>
        <w:t xml:space="preserve">.</w:t>
      </w:r>
    </w:p>
    <w:p>
      <w:pPr>
        <w:pBdr>
          <w:left w:val="single" w:color="C9A227" w:sz="18"/>
        </w:pBdr>
        <w:shd w:fill="F5F1E8" w:val="clear"/>
        <w:spacing w:after="100" w:before="60" w:line="280"/>
        <w:ind w:left="260" w:right="260"/>
      </w:pPr>
      <w:r>
        <w:rPr>
          <w:color w:val="1B2A4A"/>
          <w:sz w:val="20"/>
          <w:szCs w:val="20"/>
        </w:rPr>
        <w:t xml:space="preserve">"Producer fees must be set for the steady state, not the ramp-up." - the central lesson of Ireland's audited year 1 (Re-turn Annual Report, 2024).</w:t>
      </w:r>
    </w:p>
    <w:p>
      <w:pPr>
        <w:spacing w:after="120"/>
      </w:pPr>
      <w:r>
        <w:rPr>
          <w:sz w:val="8"/>
          <w:szCs w:val="8"/>
        </w:rPr>
        <w:t xml:space="preserve"/>
      </w:r>
    </w:p>
    <w:p>
      <w:pPr>
        <w:pStyle w:val="Heading3"/>
        <w:keepNext/>
        <w:spacing w:after="110" w:before="260"/>
      </w:pPr>
      <w:r>
        <w:rPr>
          <w:rFonts w:ascii="Calibri" w:cs="Calibri" w:eastAsia="Calibri" w:hAnsi="Calibri"/>
          <w:b/>
          <w:bCs/>
          <w:color w:val="4A6580"/>
          <w:sz w:val="24"/>
          <w:szCs w:val="24"/>
        </w:rPr>
        <w:t xml:space="preserve">10.5.2 Material revenues</w:t>
      </w:r>
    </w:p>
    <w:p>
      <w:pPr>
        <w:spacing w:after="160" w:line="300"/>
        <w:jc w:val="both"/>
      </w:pPr>
      <w:r>
        <w:t xml:space="preserve">Material sales of </w:t>
      </w:r>
      <w:r>
        <w:rPr>
          <w:b/>
          <w:bCs/>
        </w:rPr>
        <w:t xml:space="preserve">AED 331m/yr at steady state</w:t>
      </w:r>
      <w:r>
        <w:t xml:space="preserve"> rest on conservative decks: rPET at </w:t>
      </w:r>
      <w:r>
        <w:rPr>
          <w:b/>
          <w:bCs/>
        </w:rPr>
        <w:t xml:space="preserve">USD 1,200/t</w:t>
      </w:r>
      <w:r>
        <w:t xml:space="preserve"> (2024-26 range USD 1,100-2,100/t; base set low given weak 2026 markets despite the 15-25% DRS bale premium; IMARC, 2026; Polyestertime, 2026), UBC at </w:t>
      </w:r>
      <w:r>
        <w:rPr>
          <w:b/>
          <w:bCs/>
        </w:rPr>
        <w:t xml:space="preserve">USD 1,800/t</w:t>
      </w:r>
      <w:r>
        <w:t xml:space="preserve"> (range USD 1,200-2,050/t, supported by the Q4-2025→Jan-2026 LME rally; Fastmarkets, 2025; SMM/AlCircle, 2026), and cullet at </w:t>
      </w:r>
      <w:r>
        <w:rPr>
          <w:b/>
          <w:bCs/>
        </w:rPr>
        <w:t xml:space="preserve">AED 440/t</w:t>
      </w:r>
      <w:r>
        <w:t xml:space="preserve"> (export/downcycle only - no UAE furnace offtake). Aluminium is the margin engine that cross-subsidises PET and glass - the universal pattern in European systems.</w:t>
      </w:r>
    </w:p>
    <w:p>
      <w:pPr>
        <w:pStyle w:val="Heading3"/>
        <w:keepNext/>
        <w:spacing w:after="110" w:before="260"/>
      </w:pPr>
      <w:r>
        <w:rPr>
          <w:rFonts w:ascii="Calibri" w:cs="Calibri" w:eastAsia="Calibri" w:hAnsi="Calibri"/>
          <w:b/>
          <w:bCs/>
          <w:color w:val="4A6580"/>
          <w:sz w:val="24"/>
          <w:szCs w:val="24"/>
        </w:rPr>
        <w:t xml:space="preserve">10.5.3 Outflows embedded in the model</w:t>
      </w:r>
    </w:p>
    <w:p>
      <w:pPr>
        <w:spacing w:after="160" w:line="300"/>
        <w:jc w:val="both"/>
      </w:pPr>
      <w:r>
        <w:t xml:space="preserve">The retailer handling fee (RHF) (~35% of OPEX, AED 0.10/container) is the single largest outflow, followed by logistics and centre operations. All fee and cost lines escalate at 2% per annum.</w:t>
      </w:r>
    </w:p>
    <w:p>
      <w:pPr>
        <w:pStyle w:val="Heading2"/>
        <w:keepNext/>
        <w:spacing w:after="140" w:before="340"/>
      </w:pPr>
      <w:r>
        <w:rPr>
          <w:rFonts w:ascii="Georgia" w:cs="Georgia" w:eastAsia="Georgia" w:hAnsi="Georgia"/>
          <w:b/>
          <w:bCs/>
          <w:color w:val="1B2A4A"/>
          <w:sz w:val="30"/>
          <w:szCs w:val="30"/>
        </w:rPr>
        <w:t xml:space="preserve">10.6 The Deposit Float: What It Is - and What It Is Not</w:t>
      </w:r>
    </w:p>
    <w:p>
      <w:pPr>
        <w:spacing w:after="160" w:line="300"/>
        <w:jc w:val="both"/>
      </w:pPr>
      <w:r>
        <w:rPr>
          <w:b/>
          <w:bCs/>
        </w:rPr>
        <w:t xml:space="preserve">This subsection exists to prevent a misreading that has distorted DRS debates in several countries.</w:t>
      </w:r>
    </w:p>
    <w:p>
      <w:pPr>
        <w:pStyle w:val="Heading3"/>
        <w:keepNext/>
        <w:spacing w:after="110" w:before="260"/>
      </w:pPr>
      <w:r>
        <w:rPr>
          <w:rFonts w:ascii="Calibri" w:cs="Calibri" w:eastAsia="Calibri" w:hAnsi="Calibri"/>
          <w:b/>
          <w:bCs/>
          <w:color w:val="4A6580"/>
          <w:sz w:val="24"/>
          <w:szCs w:val="24"/>
        </w:rPr>
        <w:t xml:space="preserve">10.6.1 Scale of the float</w:t>
      </w:r>
    </w:p>
    <w:p>
      <w:pPr>
        <w:spacing w:after="160" w:line="300"/>
        <w:jc w:val="both"/>
      </w:pPr>
      <w:r>
        <w:t xml:space="preserve">At the recommended AED 0.25 deposit, </w:t>
      </w:r>
      <w:r>
        <w:rPr>
          <w:b/>
          <w:bCs/>
        </w:rPr>
        <w:t xml:space="preserve">gross annual deposit flows are ~AED 935 million in year 1</w:t>
      </w:r>
      <w:r>
        <w:t xml:space="preserve"> (consistent with the UAE consumer-survey range of AED 0.75-1.08bn). Unredeemed deposits - the residue of containers never returned - are modelled at </w:t>
      </w:r>
      <w:r>
        <w:rPr>
          <w:b/>
          <w:bCs/>
        </w:rPr>
        <w:t xml:space="preserve">AED 421 million in year 1</w:t>
      </w:r>
      <w:r>
        <w:t xml:space="preserve">, falling to </w:t>
      </w:r>
      <w:r>
        <w:rPr>
          <w:b/>
          <w:bCs/>
        </w:rPr>
        <w:t xml:space="preserve">~AED 110 million per year</w:t>
      </w:r>
      <w:r>
        <w:t xml:space="preserve"> once the system reaches 90% redemption. The cumulative escrowed reserve reaches </w:t>
      </w:r>
      <w:r>
        <w:rPr>
          <w:b/>
          <w:bCs/>
        </w:rPr>
        <w:t xml:space="preserve">~AED 1.8 billion by 2037</w:t>
      </w:r>
      <w:r>
        <w:t xml:space="preserve">.</w:t>
      </w:r>
    </w:p>
    <w:p>
      <w:pPr>
        <w:pStyle w:val="Heading3"/>
        <w:keepNext/>
        <w:spacing w:after="110" w:before="260"/>
      </w:pPr>
      <w:r>
        <w:rPr>
          <w:rFonts w:ascii="Calibri" w:cs="Calibri" w:eastAsia="Calibri" w:hAnsi="Calibri"/>
          <w:b/>
          <w:bCs/>
          <w:color w:val="4A6580"/>
          <w:sz w:val="24"/>
          <w:szCs w:val="24"/>
        </w:rPr>
        <w:t xml:space="preserve">10.6.2 The float is a liability, not income</w:t>
      </w:r>
    </w:p>
    <w:p>
      <w:pPr>
        <w:spacing w:after="160" w:line="300"/>
        <w:jc w:val="both"/>
      </w:pPr>
      <w:r>
        <w:t xml:space="preserve">Deposit money belongs to consumers until containers are returned. Accordingly:</w:t>
      </w:r>
    </w:p>
    <w:p>
      <w:pPr>
        <w:spacing w:after="90" w:line="290"/>
        <w:ind w:left="380" w:hanging="180"/>
      </w:pPr>
      <w:r>
        <w:rPr>
          <w:b/>
          <w:bCs/>
          <w:color w:val="C9A227"/>
        </w:rPr>
        <w:t xml:space="preserve">• </w:t>
      </w:r>
      <w:r>
        <w:rPr>
          <w:b/>
          <w:bCs/>
        </w:rPr>
        <w:t xml:space="preserve">Every dirham of deposit flow is held in transparent escrow</w:t>
      </w:r>
      <w:r>
        <w:t xml:space="preserve"> as a pass-through liability.</w:t>
      </w:r>
    </w:p>
    <w:p>
      <w:pPr>
        <w:spacing w:after="90" w:line="290"/>
        <w:ind w:left="380" w:hanging="180"/>
      </w:pPr>
      <w:r>
        <w:rPr>
          <w:b/>
          <w:bCs/>
          <w:color w:val="C9A227"/>
        </w:rPr>
        <w:t xml:space="preserve">• </w:t>
      </w:r>
      <w:r>
        <w:rPr>
          <w:b/>
          <w:bCs/>
        </w:rPr>
        <w:t xml:space="preserve">Unredeemed balances accrue to a ring-fenced system reserve</w:t>
      </w:r>
      <w:r>
        <w:t xml:space="preserve"> - governance options include Slovakia's statutory "transparent account," usable by law only for development and improvement of the system, or a state-fund model as in Portugal (Barikáda, 2021; PwC, 2021).</w:t>
      </w:r>
    </w:p>
    <w:p>
      <w:pPr>
        <w:spacing w:after="90" w:line="290"/>
        <w:ind w:left="380" w:hanging="180"/>
      </w:pPr>
      <w:r>
        <w:rPr>
          <w:b/>
          <w:bCs/>
          <w:color w:val="C9A227"/>
        </w:rPr>
        <w:t xml:space="preserve">• </w:t>
      </w:r>
      <w:r>
        <w:rPr>
          <w:b/>
          <w:bCs/>
        </w:rPr>
        <w:t xml:space="preserve">Segen earns AED 0 from unredeemed deposits.</w:t>
      </w:r>
      <w:r>
        <w:t xml:space="preserve"> Its income derives exclusively from (a) the fixed operations-management fee (AED 25m/yr) and (b) its share of recovered-material value and delivery-cost recovery. There is no deposit income anywhere in the Segen commercial structure.</w:t>
      </w:r>
    </w:p>
    <w:p>
      <w:pPr>
        <w:pStyle w:val="Heading3"/>
        <w:keepNext/>
        <w:spacing w:after="110" w:before="260"/>
      </w:pPr>
      <w:r>
        <w:rPr>
          <w:rFonts w:ascii="Calibri" w:cs="Calibri" w:eastAsia="Calibri" w:hAnsi="Calibri"/>
          <w:b/>
          <w:bCs/>
          <w:color w:val="4A6580"/>
          <w:sz w:val="24"/>
          <w:szCs w:val="24"/>
        </w:rPr>
        <w:t xml:space="preserve">10.6.3 Why this matters for system integrity</w:t>
      </w:r>
    </w:p>
    <w:p>
      <w:pPr>
        <w:spacing w:after="160" w:line="300"/>
        <w:jc w:val="both"/>
      </w:pPr>
      <w:r>
        <w:t xml:space="preserve">Where operators keep unredeemed deposits, an implicit incentive exists to </w:t>
      </w:r>
      <w:r>
        <w:rPr>
          <w:i/>
          <w:iCs/>
        </w:rPr>
        <w:t xml:space="preserve">suppress</w:t>
      </w:r>
      <w:r>
        <w:t xml:space="preserve"> return rates - Michigan's 25% retailer share of unredeemed deposits is the documented cautionary case (Reloop, 2024). Ireland's experience shows the fiscal complexity of operator-retained floats (a €23.7m VAT settlement on €66.7m recognised unredeemed deposits; CSNA, 2025). The UAE escrow design removes these incentives and ambiguities by construction. It also explains the model's most counter-intuitive sensitivity result (§10.8): higher redemption is margin-dilutive at fixed fees, because the system never monetises non-redemption.</w:t>
      </w:r>
    </w:p>
    <w:p>
      <w:pPr>
        <w:pStyle w:val="Heading2"/>
        <w:keepNext/>
        <w:spacing w:after="140" w:before="340"/>
      </w:pPr>
      <w:r>
        <w:rPr>
          <w:rFonts w:ascii="Georgia" w:cs="Georgia" w:eastAsia="Georgia" w:hAnsi="Georgia"/>
          <w:b/>
          <w:bCs/>
          <w:color w:val="1B2A4A"/>
          <w:sz w:val="30"/>
          <w:szCs w:val="30"/>
        </w:rPr>
        <w:t xml:space="preserve">10.7 System Returns: IRR 27.7%, NPV +AED 349m, Payback 2031</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4369"/>
        <w:gridCol w:w="4369"/>
      </w:tblGrid>
      <w:tr>
        <w:trPr>
          <w:tblHeader/>
        </w:trPr>
        <w:tc>
          <w:tcPr>
            <w:tcW w:type="dxa" w:w="4369"/>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Metric</w:t>
            </w:r>
          </w:p>
        </w:tc>
        <w:tc>
          <w:tcPr>
            <w:tcW w:type="dxa" w:w="4369"/>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Base case</w:t>
            </w:r>
          </w:p>
        </w:tc>
      </w:tr>
      <w:tr>
        <w:tc>
          <w:tcPr>
            <w:tcW w:type="dxa" w:w="4369"/>
            <w:shd w:fill="FFFFFF" w:val="clear"/>
            <w:tcMar>
              <w:top w:type="dxa" w:w="80"/>
              <w:left w:type="dxa" w:w="100"/>
              <w:bottom w:type="dxa" w:w="80"/>
              <w:right w:type="dxa" w:w="100"/>
            </w:tcMar>
          </w:tcPr>
          <w:p>
            <w:pPr>
              <w:spacing w:after="0" w:line="240"/>
            </w:pPr>
            <w:r>
              <w:rPr>
                <w:sz w:val="17"/>
                <w:szCs w:val="17"/>
              </w:rPr>
              <w:t xml:space="preserve">Project IRR (unlevered, 2026-2037)</w:t>
            </w:r>
          </w:p>
        </w:tc>
        <w:tc>
          <w:tcPr>
            <w:tcW w:type="dxa" w:w="4369"/>
            <w:shd w:fill="FFFFFF" w:val="clear"/>
            <w:tcMar>
              <w:top w:type="dxa" w:w="80"/>
              <w:left w:type="dxa" w:w="100"/>
              <w:bottom w:type="dxa" w:w="80"/>
              <w:right w:type="dxa" w:w="100"/>
            </w:tcMar>
          </w:tcPr>
          <w:p>
            <w:pPr>
              <w:spacing w:after="0" w:line="240"/>
            </w:pPr>
            <w:r>
              <w:rPr>
                <w:b/>
                <w:bCs/>
                <w:sz w:val="17"/>
                <w:szCs w:val="17"/>
              </w:rPr>
              <w:t xml:space="preserve">27.7%</w:t>
            </w:r>
          </w:p>
        </w:tc>
      </w:tr>
      <w:tr>
        <w:tc>
          <w:tcPr>
            <w:tcW w:type="dxa" w:w="4369"/>
            <w:shd w:fill="F5F1E8" w:val="clear"/>
            <w:tcMar>
              <w:top w:type="dxa" w:w="80"/>
              <w:left w:type="dxa" w:w="100"/>
              <w:bottom w:type="dxa" w:w="80"/>
              <w:right w:type="dxa" w:w="100"/>
            </w:tcMar>
          </w:tcPr>
          <w:p>
            <w:pPr>
              <w:spacing w:after="0" w:line="240"/>
            </w:pPr>
            <w:r>
              <w:rPr>
                <w:sz w:val="17"/>
                <w:szCs w:val="17"/>
              </w:rPr>
              <w:t xml:space="preserve">NPV @ 8% / @ 10%</w:t>
            </w:r>
          </w:p>
        </w:tc>
        <w:tc>
          <w:tcPr>
            <w:tcW w:type="dxa" w:w="4369"/>
            <w:shd w:fill="F5F1E8" w:val="clear"/>
            <w:tcMar>
              <w:top w:type="dxa" w:w="80"/>
              <w:left w:type="dxa" w:w="100"/>
              <w:bottom w:type="dxa" w:w="80"/>
              <w:right w:type="dxa" w:w="100"/>
            </w:tcMar>
          </w:tcPr>
          <w:p>
            <w:pPr>
              <w:spacing w:after="0" w:line="240"/>
            </w:pPr>
            <w:r>
              <w:rPr>
                <w:b/>
                <w:bCs/>
                <w:sz w:val="17"/>
                <w:szCs w:val="17"/>
              </w:rPr>
              <w:t xml:space="preserve">+AED 349m / +AED 287m</w:t>
            </w:r>
          </w:p>
        </w:tc>
      </w:tr>
      <w:tr>
        <w:tc>
          <w:tcPr>
            <w:tcW w:type="dxa" w:w="4369"/>
            <w:shd w:fill="FFFFFF" w:val="clear"/>
            <w:tcMar>
              <w:top w:type="dxa" w:w="80"/>
              <w:left w:type="dxa" w:w="100"/>
              <w:bottom w:type="dxa" w:w="80"/>
              <w:right w:type="dxa" w:w="100"/>
            </w:tcMar>
          </w:tcPr>
          <w:p>
            <w:pPr>
              <w:spacing w:after="0" w:line="240"/>
            </w:pPr>
            <w:r>
              <w:rPr>
                <w:sz w:val="17"/>
                <w:szCs w:val="17"/>
              </w:rPr>
              <w:t xml:space="preserve">Payback</w:t>
            </w:r>
          </w:p>
        </w:tc>
        <w:tc>
          <w:tcPr>
            <w:tcW w:type="dxa" w:w="4369"/>
            <w:shd w:fill="FFFFFF" w:val="clear"/>
            <w:tcMar>
              <w:top w:type="dxa" w:w="80"/>
              <w:left w:type="dxa" w:w="100"/>
              <w:bottom w:type="dxa" w:w="80"/>
              <w:right w:type="dxa" w:w="100"/>
            </w:tcMar>
          </w:tcPr>
          <w:p>
            <w:pPr>
              <w:spacing w:after="0" w:line="240"/>
            </w:pPr>
            <w:r>
              <w:rPr>
                <w:b/>
                <w:bCs/>
                <w:sz w:val="17"/>
                <w:szCs w:val="17"/>
              </w:rPr>
              <w:t xml:space="preserve">2031</w:t>
            </w:r>
            <w:r>
              <w:rPr>
                <w:sz w:val="17"/>
                <w:szCs w:val="17"/>
              </w:rPr>
              <w:t xml:space="preserve"> (year 4 of operations)</w:t>
            </w:r>
          </w:p>
        </w:tc>
      </w:tr>
      <w:tr>
        <w:tc>
          <w:tcPr>
            <w:tcW w:type="dxa" w:w="4369"/>
            <w:shd w:fill="F5F1E8" w:val="clear"/>
            <w:tcMar>
              <w:top w:type="dxa" w:w="80"/>
              <w:left w:type="dxa" w:w="100"/>
              <w:bottom w:type="dxa" w:w="80"/>
              <w:right w:type="dxa" w:w="100"/>
            </w:tcMar>
          </w:tcPr>
          <w:p>
            <w:pPr>
              <w:spacing w:after="0" w:line="240"/>
            </w:pPr>
            <w:r>
              <w:rPr>
                <w:sz w:val="17"/>
                <w:szCs w:val="17"/>
              </w:rPr>
              <w:t xml:space="preserve">Peak funding requirement</w:t>
            </w:r>
          </w:p>
        </w:tc>
        <w:tc>
          <w:tcPr>
            <w:tcW w:type="dxa" w:w="4369"/>
            <w:shd w:fill="F5F1E8" w:val="clear"/>
            <w:tcMar>
              <w:top w:type="dxa" w:w="80"/>
              <w:left w:type="dxa" w:w="100"/>
              <w:bottom w:type="dxa" w:w="80"/>
              <w:right w:type="dxa" w:w="100"/>
            </w:tcMar>
          </w:tcPr>
          <w:p>
            <w:pPr>
              <w:spacing w:after="0" w:line="240"/>
            </w:pPr>
            <w:r>
              <w:rPr>
                <w:b/>
                <w:bCs/>
                <w:sz w:val="17"/>
                <w:szCs w:val="17"/>
              </w:rPr>
              <w:t xml:space="preserve">AED 294m</w:t>
            </w:r>
          </w:p>
        </w:tc>
      </w:tr>
      <w:tr>
        <w:tc>
          <w:tcPr>
            <w:tcW w:type="dxa" w:w="4369"/>
            <w:shd w:fill="FFFFFF" w:val="clear"/>
            <w:tcMar>
              <w:top w:type="dxa" w:w="80"/>
              <w:left w:type="dxa" w:w="100"/>
              <w:bottom w:type="dxa" w:w="80"/>
              <w:right w:type="dxa" w:w="100"/>
            </w:tcMar>
          </w:tcPr>
          <w:p>
            <w:pPr>
              <w:spacing w:after="0" w:line="240"/>
            </w:pPr>
            <w:r>
              <w:rPr>
                <w:sz w:val="17"/>
                <w:szCs w:val="17"/>
              </w:rPr>
              <w:t xml:space="preserve">Steady-state EBITDA margin</w:t>
            </w:r>
          </w:p>
        </w:tc>
        <w:tc>
          <w:tcPr>
            <w:tcW w:type="dxa" w:w="4369"/>
            <w:shd w:fill="FFFFFF" w:val="clear"/>
            <w:tcMar>
              <w:top w:type="dxa" w:w="80"/>
              <w:left w:type="dxa" w:w="100"/>
              <w:bottom w:type="dxa" w:w="80"/>
              <w:right w:type="dxa" w:w="100"/>
            </w:tcMar>
          </w:tcPr>
          <w:p>
            <w:pPr>
              <w:spacing w:after="0" w:line="240"/>
            </w:pPr>
            <w:r>
              <w:rPr>
                <w:sz w:val="17"/>
                <w:szCs w:val="17"/>
              </w:rPr>
              <w:t xml:space="preserve">~9-10% of revenue</w:t>
            </w:r>
          </w:p>
        </w:tc>
      </w:tr>
    </w:tbl>
    <w:p>
      <w:pPr>
        <w:spacing w:after="200"/>
      </w:pPr>
      <w:r>
        <w:rPr>
          <w:sz w:val="8"/>
          <w:szCs w:val="8"/>
        </w:rPr>
        <w:t xml:space="preserve"/>
      </w:r>
    </w:p>
    <w:p>
      <w:pPr>
        <w:spacing w:after="160" w:line="300"/>
        <w:jc w:val="both"/>
      </w:pPr>
      <w:r>
        <w:t xml:space="preserve">The IRR is </w:t>
      </w:r>
      <w:r>
        <w:rPr>
          <w:b/>
          <w:bCs/>
        </w:rPr>
        <w:t xml:space="preserve">front-loaded by ramp-up surpluses</w:t>
      </w:r>
      <w:r>
        <w:t xml:space="preserve">: producer fees are charged on 100% of placed-on-market volume from day one, while return-linked costs scale only with returned units - the documented Ireland pattern, where Re-turn recorded a €51.3m pre-tax surplus in year 1 (CSNA, 2025). The steady-state margin of ~9-10% is the more meaningful long-run indicator. Internationally, DRS payback periods of 2-10 years are the norm (Lakhan meta-analysis, cited in Eunomia, 2025); the modelled 2031 payback sits comfortably within that range.</w:t>
      </w:r>
    </w:p>
    <w:p>
      <w:pPr>
        <w:spacing w:after="40" w:before="200"/>
        <w:jc w:val="center"/>
      </w:pPr>
      <w:r>
        <w:drawing>
          <wp:inline distT="0" distB="0" distL="0" distR="0">
            <wp:extent cx="5524500" cy="3771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5524500" cy="3771900"/>
                    </a:xfrm>
                    <a:prstGeom prst="rect">
                      <a:avLst/>
                    </a:prstGeom>
                  </pic:spPr>
                </pic:pic>
              </a:graphicData>
            </a:graphic>
          </wp:inline>
        </w:drawing>
      </w:r>
    </w:p>
    <w:p>
      <w:pPr>
        <w:spacing w:after="240" w:before="40"/>
        <w:jc w:val="center"/>
      </w:pPr>
      <w:r>
        <w:rPr>
          <w:rFonts w:ascii="Calibri" w:cs="Calibri" w:eastAsia="Calibri" w:hAnsi="Calibri"/>
          <w:i/>
          <w:iCs/>
          <w:color w:val="4A6580"/>
          <w:sz w:val="17"/>
          <w:szCs w:val="17"/>
        </w:rPr>
        <w:t xml:space="preserve">System cash flow 2026-2037 - peak funding AED 294m, payback 2031, IRR 27.7%, NPV +AED 349m at an 8% discount rate.</w:t>
      </w:r>
    </w:p>
    <w:p>
      <w:pPr>
        <w:pStyle w:val="Heading2"/>
        <w:keepNext/>
        <w:spacing w:after="140" w:before="340"/>
      </w:pPr>
      <w:r>
        <w:rPr>
          <w:rFonts w:ascii="Georgia" w:cs="Georgia" w:eastAsia="Georgia" w:hAnsi="Georgia"/>
          <w:b/>
          <w:bCs/>
          <w:color w:val="1B2A4A"/>
          <w:sz w:val="30"/>
          <w:szCs w:val="30"/>
        </w:rPr>
        <w:t xml:space="preserve">10.8 Scenario Analysis: Honest Bounds on the Base Case</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2184"/>
        <w:gridCol w:w="2184"/>
        <w:gridCol w:w="2184"/>
        <w:gridCol w:w="2186"/>
      </w:tblGrid>
      <w:tr>
        <w:trPr>
          <w:tblHeader/>
        </w:trPr>
        <w:tc>
          <w:tcPr>
            <w:tcW w:type="dxa" w:w="218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
            </w:r>
          </w:p>
        </w:tc>
        <w:tc>
          <w:tcPr>
            <w:tcW w:type="dxa" w:w="218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Conservative</w:t>
            </w:r>
          </w:p>
        </w:tc>
        <w:tc>
          <w:tcPr>
            <w:tcW w:type="dxa" w:w="218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Base</w:t>
            </w:r>
          </w:p>
        </w:tc>
        <w:tc>
          <w:tcPr>
            <w:tcW w:type="dxa" w:w="2186"/>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Optimistic</w:t>
            </w:r>
          </w:p>
        </w:tc>
      </w:tr>
      <w:tr>
        <w:tc>
          <w:tcPr>
            <w:tcW w:type="dxa" w:w="2184"/>
            <w:shd w:fill="FFFFFF" w:val="clear"/>
            <w:tcMar>
              <w:top w:type="dxa" w:w="80"/>
              <w:left w:type="dxa" w:w="100"/>
              <w:bottom w:type="dxa" w:w="80"/>
              <w:right w:type="dxa" w:w="100"/>
            </w:tcMar>
          </w:tcPr>
          <w:p>
            <w:pPr>
              <w:spacing w:after="0" w:line="240"/>
            </w:pPr>
            <w:r>
              <w:rPr>
                <w:sz w:val="17"/>
                <w:szCs w:val="17"/>
              </w:rPr>
              <w:t xml:space="preserve">POM PET 2028 (bn)</w:t>
            </w:r>
          </w:p>
        </w:tc>
        <w:tc>
          <w:tcPr>
            <w:tcW w:type="dxa" w:w="2184"/>
            <w:shd w:fill="FFFFFF" w:val="clear"/>
            <w:tcMar>
              <w:top w:type="dxa" w:w="80"/>
              <w:left w:type="dxa" w:w="100"/>
              <w:bottom w:type="dxa" w:w="80"/>
              <w:right w:type="dxa" w:w="100"/>
            </w:tcMar>
          </w:tcPr>
          <w:p>
            <w:pPr>
              <w:spacing w:after="0" w:line="240"/>
            </w:pPr>
            <w:r>
              <w:rPr>
                <w:sz w:val="17"/>
                <w:szCs w:val="17"/>
              </w:rPr>
              <w:t xml:space="preserve">2.60</w:t>
            </w:r>
          </w:p>
        </w:tc>
        <w:tc>
          <w:tcPr>
            <w:tcW w:type="dxa" w:w="2184"/>
            <w:shd w:fill="FFFFFF" w:val="clear"/>
            <w:tcMar>
              <w:top w:type="dxa" w:w="80"/>
              <w:left w:type="dxa" w:w="100"/>
              <w:bottom w:type="dxa" w:w="80"/>
              <w:right w:type="dxa" w:w="100"/>
            </w:tcMar>
          </w:tcPr>
          <w:p>
            <w:pPr>
              <w:spacing w:after="0" w:line="240"/>
            </w:pPr>
            <w:r>
              <w:rPr>
                <w:b/>
                <w:bCs/>
                <w:sz w:val="17"/>
                <w:szCs w:val="17"/>
              </w:rPr>
              <w:t xml:space="preserve">2.90</w:t>
            </w:r>
          </w:p>
        </w:tc>
        <w:tc>
          <w:tcPr>
            <w:tcW w:type="dxa" w:w="2186"/>
            <w:shd w:fill="FFFFFF" w:val="clear"/>
            <w:tcMar>
              <w:top w:type="dxa" w:w="80"/>
              <w:left w:type="dxa" w:w="100"/>
              <w:bottom w:type="dxa" w:w="80"/>
              <w:right w:type="dxa" w:w="100"/>
            </w:tcMar>
          </w:tcPr>
          <w:p>
            <w:pPr>
              <w:spacing w:after="0" w:line="240"/>
            </w:pPr>
            <w:r>
              <w:rPr>
                <w:sz w:val="17"/>
                <w:szCs w:val="17"/>
              </w:rPr>
              <w:t xml:space="preserve">3.30</w:t>
            </w:r>
          </w:p>
        </w:tc>
      </w:tr>
      <w:tr>
        <w:tc>
          <w:tcPr>
            <w:tcW w:type="dxa" w:w="2184"/>
            <w:shd w:fill="F5F1E8" w:val="clear"/>
            <w:tcMar>
              <w:top w:type="dxa" w:w="80"/>
              <w:left w:type="dxa" w:w="100"/>
              <w:bottom w:type="dxa" w:w="80"/>
              <w:right w:type="dxa" w:w="100"/>
            </w:tcMar>
          </w:tcPr>
          <w:p>
            <w:pPr>
              <w:spacing w:after="0" w:line="240"/>
            </w:pPr>
            <w:r>
              <w:rPr>
                <w:sz w:val="17"/>
                <w:szCs w:val="17"/>
              </w:rPr>
              <w:t xml:space="preserve">Plateau return rate</w:t>
            </w:r>
          </w:p>
        </w:tc>
        <w:tc>
          <w:tcPr>
            <w:tcW w:type="dxa" w:w="2184"/>
            <w:shd w:fill="F5F1E8" w:val="clear"/>
            <w:tcMar>
              <w:top w:type="dxa" w:w="80"/>
              <w:left w:type="dxa" w:w="100"/>
              <w:bottom w:type="dxa" w:w="80"/>
              <w:right w:type="dxa" w:w="100"/>
            </w:tcMar>
          </w:tcPr>
          <w:p>
            <w:pPr>
              <w:spacing w:after="0" w:line="240"/>
            </w:pPr>
            <w:r>
              <w:rPr>
                <w:sz w:val="17"/>
                <w:szCs w:val="17"/>
              </w:rPr>
              <w:t xml:space="preserve">80%</w:t>
            </w:r>
          </w:p>
        </w:tc>
        <w:tc>
          <w:tcPr>
            <w:tcW w:type="dxa" w:w="2184"/>
            <w:shd w:fill="F5F1E8" w:val="clear"/>
            <w:tcMar>
              <w:top w:type="dxa" w:w="80"/>
              <w:left w:type="dxa" w:w="100"/>
              <w:bottom w:type="dxa" w:w="80"/>
              <w:right w:type="dxa" w:w="100"/>
            </w:tcMar>
          </w:tcPr>
          <w:p>
            <w:pPr>
              <w:spacing w:after="0" w:line="240"/>
            </w:pPr>
            <w:r>
              <w:rPr>
                <w:b/>
                <w:bCs/>
                <w:sz w:val="17"/>
                <w:szCs w:val="17"/>
              </w:rPr>
              <w:t xml:space="preserve">90%</w:t>
            </w:r>
          </w:p>
        </w:tc>
        <w:tc>
          <w:tcPr>
            <w:tcW w:type="dxa" w:w="2186"/>
            <w:shd w:fill="F5F1E8" w:val="clear"/>
            <w:tcMar>
              <w:top w:type="dxa" w:w="80"/>
              <w:left w:type="dxa" w:w="100"/>
              <w:bottom w:type="dxa" w:w="80"/>
              <w:right w:type="dxa" w:w="100"/>
            </w:tcMar>
          </w:tcPr>
          <w:p>
            <w:pPr>
              <w:spacing w:after="0" w:line="240"/>
            </w:pPr>
            <w:r>
              <w:rPr>
                <w:sz w:val="17"/>
                <w:szCs w:val="17"/>
              </w:rPr>
              <w:t xml:space="preserve">91%</w:t>
            </w:r>
          </w:p>
        </w:tc>
      </w:tr>
      <w:tr>
        <w:tc>
          <w:tcPr>
            <w:tcW w:type="dxa" w:w="2184"/>
            <w:shd w:fill="FFFFFF" w:val="clear"/>
            <w:tcMar>
              <w:top w:type="dxa" w:w="80"/>
              <w:left w:type="dxa" w:w="100"/>
              <w:bottom w:type="dxa" w:w="80"/>
              <w:right w:type="dxa" w:w="100"/>
            </w:tcMar>
          </w:tcPr>
          <w:p>
            <w:pPr>
              <w:spacing w:after="0" w:line="240"/>
            </w:pPr>
            <w:r>
              <w:rPr>
                <w:sz w:val="17"/>
                <w:szCs w:val="17"/>
              </w:rPr>
              <w:t xml:space="preserve">RVM count / unit cost</w:t>
            </w:r>
          </w:p>
        </w:tc>
        <w:tc>
          <w:tcPr>
            <w:tcW w:type="dxa" w:w="2184"/>
            <w:shd w:fill="FFFFFF" w:val="clear"/>
            <w:tcMar>
              <w:top w:type="dxa" w:w="80"/>
              <w:left w:type="dxa" w:w="100"/>
              <w:bottom w:type="dxa" w:w="80"/>
              <w:right w:type="dxa" w:w="100"/>
            </w:tcMar>
          </w:tcPr>
          <w:p>
            <w:pPr>
              <w:spacing w:after="0" w:line="240"/>
            </w:pPr>
            <w:r>
              <w:rPr>
                <w:sz w:val="17"/>
                <w:szCs w:val="17"/>
              </w:rPr>
              <w:t xml:space="preserve">3,000 @ AED 130k</w:t>
            </w:r>
          </w:p>
        </w:tc>
        <w:tc>
          <w:tcPr>
            <w:tcW w:type="dxa" w:w="2184"/>
            <w:shd w:fill="FFFFFF" w:val="clear"/>
            <w:tcMar>
              <w:top w:type="dxa" w:w="80"/>
              <w:left w:type="dxa" w:w="100"/>
              <w:bottom w:type="dxa" w:w="80"/>
              <w:right w:type="dxa" w:w="100"/>
            </w:tcMar>
          </w:tcPr>
          <w:p>
            <w:pPr>
              <w:spacing w:after="0" w:line="240"/>
            </w:pPr>
            <w:r>
              <w:rPr>
                <w:b/>
                <w:bCs/>
                <w:sz w:val="17"/>
                <w:szCs w:val="17"/>
              </w:rPr>
              <w:t xml:space="preserve">3,500 @ AED 110k</w:t>
            </w:r>
          </w:p>
        </w:tc>
        <w:tc>
          <w:tcPr>
            <w:tcW w:type="dxa" w:w="2186"/>
            <w:shd w:fill="FFFFFF" w:val="clear"/>
            <w:tcMar>
              <w:top w:type="dxa" w:w="80"/>
              <w:left w:type="dxa" w:w="100"/>
              <w:bottom w:type="dxa" w:w="80"/>
              <w:right w:type="dxa" w:w="100"/>
            </w:tcMar>
          </w:tcPr>
          <w:p>
            <w:pPr>
              <w:spacing w:after="0" w:line="240"/>
            </w:pPr>
            <w:r>
              <w:rPr>
                <w:sz w:val="17"/>
                <w:szCs w:val="17"/>
              </w:rPr>
              <w:t xml:space="preserve">4,000 @ AED 95k</w:t>
            </w:r>
          </w:p>
        </w:tc>
      </w:tr>
      <w:tr>
        <w:tc>
          <w:tcPr>
            <w:tcW w:type="dxa" w:w="2184"/>
            <w:shd w:fill="F5F1E8" w:val="clear"/>
            <w:tcMar>
              <w:top w:type="dxa" w:w="80"/>
              <w:left w:type="dxa" w:w="100"/>
              <w:bottom w:type="dxa" w:w="80"/>
              <w:right w:type="dxa" w:w="100"/>
            </w:tcMar>
          </w:tcPr>
          <w:p>
            <w:pPr>
              <w:spacing w:after="0" w:line="240"/>
            </w:pPr>
            <w:r>
              <w:rPr>
                <w:sz w:val="17"/>
                <w:szCs w:val="17"/>
              </w:rPr>
              <w:t xml:space="preserve">rPET / UBC price (USD/t)</w:t>
            </w:r>
          </w:p>
        </w:tc>
        <w:tc>
          <w:tcPr>
            <w:tcW w:type="dxa" w:w="2184"/>
            <w:shd w:fill="F5F1E8" w:val="clear"/>
            <w:tcMar>
              <w:top w:type="dxa" w:w="80"/>
              <w:left w:type="dxa" w:w="100"/>
              <w:bottom w:type="dxa" w:w="80"/>
              <w:right w:type="dxa" w:w="100"/>
            </w:tcMar>
          </w:tcPr>
          <w:p>
            <w:pPr>
              <w:spacing w:after="0" w:line="240"/>
            </w:pPr>
            <w:r>
              <w:rPr>
                <w:sz w:val="17"/>
                <w:szCs w:val="17"/>
              </w:rPr>
              <w:t xml:space="preserve">900 / 1,400</w:t>
            </w:r>
          </w:p>
        </w:tc>
        <w:tc>
          <w:tcPr>
            <w:tcW w:type="dxa" w:w="2184"/>
            <w:shd w:fill="F5F1E8" w:val="clear"/>
            <w:tcMar>
              <w:top w:type="dxa" w:w="80"/>
              <w:left w:type="dxa" w:w="100"/>
              <w:bottom w:type="dxa" w:w="80"/>
              <w:right w:type="dxa" w:w="100"/>
            </w:tcMar>
          </w:tcPr>
          <w:p>
            <w:pPr>
              <w:spacing w:after="0" w:line="240"/>
            </w:pPr>
            <w:r>
              <w:rPr>
                <w:b/>
                <w:bCs/>
                <w:sz w:val="17"/>
                <w:szCs w:val="17"/>
              </w:rPr>
              <w:t xml:space="preserve">1,200 / 1,800</w:t>
            </w:r>
          </w:p>
        </w:tc>
        <w:tc>
          <w:tcPr>
            <w:tcW w:type="dxa" w:w="2186"/>
            <w:shd w:fill="F5F1E8" w:val="clear"/>
            <w:tcMar>
              <w:top w:type="dxa" w:w="80"/>
              <w:left w:type="dxa" w:w="100"/>
              <w:bottom w:type="dxa" w:w="80"/>
              <w:right w:type="dxa" w:w="100"/>
            </w:tcMar>
          </w:tcPr>
          <w:p>
            <w:pPr>
              <w:spacing w:after="0" w:line="240"/>
            </w:pPr>
            <w:r>
              <w:rPr>
                <w:sz w:val="17"/>
                <w:szCs w:val="17"/>
              </w:rPr>
              <w:t xml:space="preserve">1,300 / 1,900</w:t>
            </w:r>
          </w:p>
        </w:tc>
      </w:tr>
      <w:tr>
        <w:tc>
          <w:tcPr>
            <w:tcW w:type="dxa" w:w="2184"/>
            <w:shd w:fill="FFFFFF" w:val="clear"/>
            <w:tcMar>
              <w:top w:type="dxa" w:w="80"/>
              <w:left w:type="dxa" w:w="100"/>
              <w:bottom w:type="dxa" w:w="80"/>
              <w:right w:type="dxa" w:w="100"/>
            </w:tcMar>
          </w:tcPr>
          <w:p>
            <w:pPr>
              <w:spacing w:after="0" w:line="240"/>
            </w:pPr>
            <w:r>
              <w:rPr>
                <w:sz w:val="17"/>
                <w:szCs w:val="17"/>
              </w:rPr>
              <w:t xml:space="preserve">Total CAPEX (AED m)</w:t>
            </w:r>
          </w:p>
        </w:tc>
        <w:tc>
          <w:tcPr>
            <w:tcW w:type="dxa" w:w="2184"/>
            <w:shd w:fill="FFFFFF" w:val="clear"/>
            <w:tcMar>
              <w:top w:type="dxa" w:w="80"/>
              <w:left w:type="dxa" w:w="100"/>
              <w:bottom w:type="dxa" w:w="80"/>
              <w:right w:type="dxa" w:w="100"/>
            </w:tcMar>
          </w:tcPr>
          <w:p>
            <w:pPr>
              <w:spacing w:after="0" w:line="240"/>
            </w:pPr>
            <w:r>
              <w:rPr>
                <w:sz w:val="17"/>
                <w:szCs w:val="17"/>
              </w:rPr>
              <w:t xml:space="preserve">745</w:t>
            </w:r>
          </w:p>
        </w:tc>
        <w:tc>
          <w:tcPr>
            <w:tcW w:type="dxa" w:w="2184"/>
            <w:shd w:fill="FFFFFF" w:val="clear"/>
            <w:tcMar>
              <w:top w:type="dxa" w:w="80"/>
              <w:left w:type="dxa" w:w="100"/>
              <w:bottom w:type="dxa" w:w="80"/>
              <w:right w:type="dxa" w:w="100"/>
            </w:tcMar>
          </w:tcPr>
          <w:p>
            <w:pPr>
              <w:spacing w:after="0" w:line="240"/>
            </w:pPr>
            <w:r>
              <w:rPr>
                <w:b/>
                <w:bCs/>
                <w:sz w:val="17"/>
                <w:szCs w:val="17"/>
              </w:rPr>
              <w:t xml:space="preserve">664</w:t>
            </w:r>
          </w:p>
        </w:tc>
        <w:tc>
          <w:tcPr>
            <w:tcW w:type="dxa" w:w="2186"/>
            <w:shd w:fill="FFFFFF" w:val="clear"/>
            <w:tcMar>
              <w:top w:type="dxa" w:w="80"/>
              <w:left w:type="dxa" w:w="100"/>
              <w:bottom w:type="dxa" w:w="80"/>
              <w:right w:type="dxa" w:w="100"/>
            </w:tcMar>
          </w:tcPr>
          <w:p>
            <w:pPr>
              <w:spacing w:after="0" w:line="240"/>
            </w:pPr>
            <w:r>
              <w:rPr>
                <w:sz w:val="17"/>
                <w:szCs w:val="17"/>
              </w:rPr>
              <w:t xml:space="preserve">603</w:t>
            </w:r>
          </w:p>
        </w:tc>
      </w:tr>
      <w:tr>
        <w:tc>
          <w:tcPr>
            <w:tcW w:type="dxa" w:w="2184"/>
            <w:shd w:fill="F5F1E8" w:val="clear"/>
            <w:tcMar>
              <w:top w:type="dxa" w:w="80"/>
              <w:left w:type="dxa" w:w="100"/>
              <w:bottom w:type="dxa" w:w="80"/>
              <w:right w:type="dxa" w:w="100"/>
            </w:tcMar>
          </w:tcPr>
          <w:p>
            <w:pPr>
              <w:spacing w:after="0" w:line="240"/>
            </w:pPr>
            <w:r>
              <w:rPr>
                <w:sz w:val="17"/>
                <w:szCs w:val="17"/>
              </w:rPr>
              <w:t xml:space="preserve">Fee-review factor (from year 4)</w:t>
            </w:r>
          </w:p>
        </w:tc>
        <w:tc>
          <w:tcPr>
            <w:tcW w:type="dxa" w:w="2184"/>
            <w:shd w:fill="F5F1E8" w:val="clear"/>
            <w:tcMar>
              <w:top w:type="dxa" w:w="80"/>
              <w:left w:type="dxa" w:w="100"/>
              <w:bottom w:type="dxa" w:w="80"/>
              <w:right w:type="dxa" w:w="100"/>
            </w:tcMar>
          </w:tcPr>
          <w:p>
            <w:pPr>
              <w:spacing w:after="0" w:line="240"/>
            </w:pPr>
            <w:r>
              <w:rPr>
                <w:b/>
                <w:bCs/>
                <w:sz w:val="17"/>
                <w:szCs w:val="17"/>
              </w:rPr>
              <w:t xml:space="preserve">+20%</w:t>
            </w:r>
          </w:p>
        </w:tc>
        <w:tc>
          <w:tcPr>
            <w:tcW w:type="dxa" w:w="2184"/>
            <w:shd w:fill="F5F1E8" w:val="clear"/>
            <w:tcMar>
              <w:top w:type="dxa" w:w="80"/>
              <w:left w:type="dxa" w:w="100"/>
              <w:bottom w:type="dxa" w:w="80"/>
              <w:right w:type="dxa" w:w="100"/>
            </w:tcMar>
          </w:tcPr>
          <w:p>
            <w:pPr>
              <w:spacing w:after="0" w:line="240"/>
            </w:pPr>
            <w:r>
              <w:rPr>
                <w:sz w:val="17"/>
                <w:szCs w:val="17"/>
              </w:rPr>
              <w:t xml:space="preserve">-</w:t>
            </w:r>
          </w:p>
        </w:tc>
        <w:tc>
          <w:tcPr>
            <w:tcW w:type="dxa" w:w="2186"/>
            <w:shd w:fill="F5F1E8" w:val="clear"/>
            <w:tcMar>
              <w:top w:type="dxa" w:w="80"/>
              <w:left w:type="dxa" w:w="100"/>
              <w:bottom w:type="dxa" w:w="80"/>
              <w:right w:type="dxa" w:w="100"/>
            </w:tcMar>
          </w:tcPr>
          <w:p>
            <w:pPr>
              <w:spacing w:after="0" w:line="240"/>
            </w:pPr>
            <w:r>
              <w:rPr>
                <w:b/>
                <w:bCs/>
                <w:sz w:val="17"/>
                <w:szCs w:val="17"/>
              </w:rPr>
              <w:t xml:space="preserve">−15%</w:t>
            </w:r>
          </w:p>
        </w:tc>
      </w:tr>
      <w:tr>
        <w:tc>
          <w:tcPr>
            <w:tcW w:type="dxa" w:w="2184"/>
            <w:shd w:fill="FFFFFF" w:val="clear"/>
            <w:tcMar>
              <w:top w:type="dxa" w:w="80"/>
              <w:left w:type="dxa" w:w="100"/>
              <w:bottom w:type="dxa" w:w="80"/>
              <w:right w:type="dxa" w:w="100"/>
            </w:tcMar>
          </w:tcPr>
          <w:p>
            <w:pPr>
              <w:spacing w:after="0" w:line="240"/>
            </w:pPr>
            <w:r>
              <w:rPr>
                <w:b/>
                <w:bCs/>
                <w:sz w:val="17"/>
                <w:szCs w:val="17"/>
              </w:rPr>
              <w:t xml:space="preserve">Project IRR</w:t>
            </w:r>
          </w:p>
        </w:tc>
        <w:tc>
          <w:tcPr>
            <w:tcW w:type="dxa" w:w="2184"/>
            <w:shd w:fill="FFFFFF" w:val="clear"/>
            <w:tcMar>
              <w:top w:type="dxa" w:w="80"/>
              <w:left w:type="dxa" w:w="100"/>
              <w:bottom w:type="dxa" w:w="80"/>
              <w:right w:type="dxa" w:w="100"/>
            </w:tcMar>
          </w:tcPr>
          <w:p>
            <w:pPr>
              <w:spacing w:after="0" w:line="240"/>
            </w:pPr>
            <w:r>
              <w:rPr>
                <w:b/>
                <w:bCs/>
                <w:sz w:val="17"/>
                <w:szCs w:val="17"/>
              </w:rPr>
              <w:t xml:space="preserve">2.5%</w:t>
            </w:r>
          </w:p>
        </w:tc>
        <w:tc>
          <w:tcPr>
            <w:tcW w:type="dxa" w:w="2184"/>
            <w:shd w:fill="FFFFFF" w:val="clear"/>
            <w:tcMar>
              <w:top w:type="dxa" w:w="80"/>
              <w:left w:type="dxa" w:w="100"/>
              <w:bottom w:type="dxa" w:w="80"/>
              <w:right w:type="dxa" w:w="100"/>
            </w:tcMar>
          </w:tcPr>
          <w:p>
            <w:pPr>
              <w:spacing w:after="0" w:line="240"/>
            </w:pPr>
            <w:r>
              <w:rPr>
                <w:b/>
                <w:bCs/>
                <w:sz w:val="17"/>
                <w:szCs w:val="17"/>
              </w:rPr>
              <w:t xml:space="preserve">27.7%</w:t>
            </w:r>
          </w:p>
        </w:tc>
        <w:tc>
          <w:tcPr>
            <w:tcW w:type="dxa" w:w="2186"/>
            <w:shd w:fill="FFFFFF" w:val="clear"/>
            <w:tcMar>
              <w:top w:type="dxa" w:w="80"/>
              <w:left w:type="dxa" w:w="100"/>
              <w:bottom w:type="dxa" w:w="80"/>
              <w:right w:type="dxa" w:w="100"/>
            </w:tcMar>
          </w:tcPr>
          <w:p>
            <w:pPr>
              <w:spacing w:after="0" w:line="240"/>
            </w:pPr>
            <w:r>
              <w:rPr>
                <w:b/>
                <w:bCs/>
                <w:sz w:val="17"/>
                <w:szCs w:val="17"/>
              </w:rPr>
              <w:t xml:space="preserve">67%</w:t>
            </w:r>
          </w:p>
        </w:tc>
      </w:tr>
      <w:tr>
        <w:tc>
          <w:tcPr>
            <w:tcW w:type="dxa" w:w="2184"/>
            <w:shd w:fill="F5F1E8" w:val="clear"/>
            <w:tcMar>
              <w:top w:type="dxa" w:w="80"/>
              <w:left w:type="dxa" w:w="100"/>
              <w:bottom w:type="dxa" w:w="80"/>
              <w:right w:type="dxa" w:w="100"/>
            </w:tcMar>
          </w:tcPr>
          <w:p>
            <w:pPr>
              <w:spacing w:after="0" w:line="240"/>
            </w:pPr>
            <w:r>
              <w:rPr>
                <w:sz w:val="17"/>
                <w:szCs w:val="17"/>
              </w:rPr>
              <w:t xml:space="preserve">NPV @ 8% (AED m)</w:t>
            </w:r>
          </w:p>
        </w:tc>
        <w:tc>
          <w:tcPr>
            <w:tcW w:type="dxa" w:w="2184"/>
            <w:shd w:fill="F5F1E8" w:val="clear"/>
            <w:tcMar>
              <w:top w:type="dxa" w:w="80"/>
              <w:left w:type="dxa" w:w="100"/>
              <w:bottom w:type="dxa" w:w="80"/>
              <w:right w:type="dxa" w:w="100"/>
            </w:tcMar>
          </w:tcPr>
          <w:p>
            <w:pPr>
              <w:spacing w:after="0" w:line="240"/>
            </w:pPr>
            <w:r>
              <w:rPr>
                <w:sz w:val="17"/>
                <w:szCs w:val="17"/>
              </w:rPr>
              <w:t xml:space="preserve">−121</w:t>
            </w:r>
          </w:p>
        </w:tc>
        <w:tc>
          <w:tcPr>
            <w:tcW w:type="dxa" w:w="2184"/>
            <w:shd w:fill="F5F1E8" w:val="clear"/>
            <w:tcMar>
              <w:top w:type="dxa" w:w="80"/>
              <w:left w:type="dxa" w:w="100"/>
              <w:bottom w:type="dxa" w:w="80"/>
              <w:right w:type="dxa" w:w="100"/>
            </w:tcMar>
          </w:tcPr>
          <w:p>
            <w:pPr>
              <w:spacing w:after="0" w:line="240"/>
            </w:pPr>
            <w:r>
              <w:rPr>
                <w:b/>
                <w:bCs/>
                <w:sz w:val="17"/>
                <w:szCs w:val="17"/>
              </w:rPr>
              <w:t xml:space="preserve">+349</w:t>
            </w:r>
          </w:p>
        </w:tc>
        <w:tc>
          <w:tcPr>
            <w:tcW w:type="dxa" w:w="2186"/>
            <w:shd w:fill="F5F1E8" w:val="clear"/>
            <w:tcMar>
              <w:top w:type="dxa" w:w="80"/>
              <w:left w:type="dxa" w:w="100"/>
              <w:bottom w:type="dxa" w:w="80"/>
              <w:right w:type="dxa" w:w="100"/>
            </w:tcMar>
          </w:tcPr>
          <w:p>
            <w:pPr>
              <w:spacing w:after="0" w:line="240"/>
            </w:pPr>
            <w:r>
              <w:rPr>
                <w:sz w:val="17"/>
                <w:szCs w:val="17"/>
              </w:rPr>
              <w:t xml:space="preserve">+976</w:t>
            </w:r>
          </w:p>
        </w:tc>
      </w:tr>
      <w:tr>
        <w:tc>
          <w:tcPr>
            <w:tcW w:type="dxa" w:w="2184"/>
            <w:shd w:fill="FFFFFF" w:val="clear"/>
            <w:tcMar>
              <w:top w:type="dxa" w:w="80"/>
              <w:left w:type="dxa" w:w="100"/>
              <w:bottom w:type="dxa" w:w="80"/>
              <w:right w:type="dxa" w:w="100"/>
            </w:tcMar>
          </w:tcPr>
          <w:p>
            <w:pPr>
              <w:spacing w:after="0" w:line="240"/>
            </w:pPr>
            <w:r>
              <w:rPr>
                <w:sz w:val="17"/>
                <w:szCs w:val="17"/>
              </w:rPr>
              <w:t xml:space="preserve">Payback</w:t>
            </w:r>
          </w:p>
        </w:tc>
        <w:tc>
          <w:tcPr>
            <w:tcW w:type="dxa" w:w="2184"/>
            <w:shd w:fill="FFFFFF" w:val="clear"/>
            <w:tcMar>
              <w:top w:type="dxa" w:w="80"/>
              <w:left w:type="dxa" w:w="100"/>
              <w:bottom w:type="dxa" w:w="80"/>
              <w:right w:type="dxa" w:w="100"/>
            </w:tcMar>
          </w:tcPr>
          <w:p>
            <w:pPr>
              <w:spacing w:after="0" w:line="240"/>
            </w:pPr>
            <w:r>
              <w:rPr>
                <w:sz w:val="17"/>
                <w:szCs w:val="17"/>
              </w:rPr>
              <w:t xml:space="preserve">2036</w:t>
            </w:r>
          </w:p>
        </w:tc>
        <w:tc>
          <w:tcPr>
            <w:tcW w:type="dxa" w:w="2184"/>
            <w:shd w:fill="FFFFFF" w:val="clear"/>
            <w:tcMar>
              <w:top w:type="dxa" w:w="80"/>
              <w:left w:type="dxa" w:w="100"/>
              <w:bottom w:type="dxa" w:w="80"/>
              <w:right w:type="dxa" w:w="100"/>
            </w:tcMar>
          </w:tcPr>
          <w:p>
            <w:pPr>
              <w:spacing w:after="0" w:line="240"/>
            </w:pPr>
            <w:r>
              <w:rPr>
                <w:b/>
                <w:bCs/>
                <w:sz w:val="17"/>
                <w:szCs w:val="17"/>
              </w:rPr>
              <w:t xml:space="preserve">2031</w:t>
            </w:r>
          </w:p>
        </w:tc>
        <w:tc>
          <w:tcPr>
            <w:tcW w:type="dxa" w:w="2186"/>
            <w:shd w:fill="FFFFFF" w:val="clear"/>
            <w:tcMar>
              <w:top w:type="dxa" w:w="80"/>
              <w:left w:type="dxa" w:w="100"/>
              <w:bottom w:type="dxa" w:w="80"/>
              <w:right w:type="dxa" w:w="100"/>
            </w:tcMar>
          </w:tcPr>
          <w:p>
            <w:pPr>
              <w:spacing w:after="0" w:line="240"/>
            </w:pPr>
            <w:r>
              <w:rPr>
                <w:sz w:val="17"/>
                <w:szCs w:val="17"/>
              </w:rPr>
              <w:t xml:space="preserve">2029</w:t>
            </w:r>
          </w:p>
        </w:tc>
      </w:tr>
      <w:tr>
        <w:tc>
          <w:tcPr>
            <w:tcW w:type="dxa" w:w="2184"/>
            <w:shd w:fill="F5F1E8" w:val="clear"/>
            <w:tcMar>
              <w:top w:type="dxa" w:w="80"/>
              <w:left w:type="dxa" w:w="100"/>
              <w:bottom w:type="dxa" w:w="80"/>
              <w:right w:type="dxa" w:w="100"/>
            </w:tcMar>
          </w:tcPr>
          <w:p>
            <w:pPr>
              <w:spacing w:after="0" w:line="240"/>
            </w:pPr>
            <w:r>
              <w:rPr>
                <w:sz w:val="17"/>
                <w:szCs w:val="17"/>
              </w:rPr>
              <w:t xml:space="preserve">Peak funding (AED m)</w:t>
            </w:r>
          </w:p>
        </w:tc>
        <w:tc>
          <w:tcPr>
            <w:tcW w:type="dxa" w:w="2184"/>
            <w:shd w:fill="F5F1E8" w:val="clear"/>
            <w:tcMar>
              <w:top w:type="dxa" w:w="80"/>
              <w:left w:type="dxa" w:w="100"/>
              <w:bottom w:type="dxa" w:w="80"/>
              <w:right w:type="dxa" w:w="100"/>
            </w:tcMar>
          </w:tcPr>
          <w:p>
            <w:pPr>
              <w:spacing w:after="0" w:line="240"/>
            </w:pPr>
            <w:r>
              <w:rPr>
                <w:sz w:val="17"/>
                <w:szCs w:val="17"/>
              </w:rPr>
              <w:t xml:space="preserve">494</w:t>
            </w:r>
          </w:p>
        </w:tc>
        <w:tc>
          <w:tcPr>
            <w:tcW w:type="dxa" w:w="2184"/>
            <w:shd w:fill="F5F1E8" w:val="clear"/>
            <w:tcMar>
              <w:top w:type="dxa" w:w="80"/>
              <w:left w:type="dxa" w:w="100"/>
              <w:bottom w:type="dxa" w:w="80"/>
              <w:right w:type="dxa" w:w="100"/>
            </w:tcMar>
          </w:tcPr>
          <w:p>
            <w:pPr>
              <w:spacing w:after="0" w:line="240"/>
            </w:pPr>
            <w:r>
              <w:rPr>
                <w:b/>
                <w:bCs/>
                <w:sz w:val="17"/>
                <w:szCs w:val="17"/>
              </w:rPr>
              <w:t xml:space="preserve">294</w:t>
            </w:r>
          </w:p>
        </w:tc>
        <w:tc>
          <w:tcPr>
            <w:tcW w:type="dxa" w:w="2186"/>
            <w:shd w:fill="F5F1E8" w:val="clear"/>
            <w:tcMar>
              <w:top w:type="dxa" w:w="80"/>
              <w:left w:type="dxa" w:w="100"/>
              <w:bottom w:type="dxa" w:w="80"/>
              <w:right w:type="dxa" w:w="100"/>
            </w:tcMar>
          </w:tcPr>
          <w:p>
            <w:pPr>
              <w:spacing w:after="0" w:line="240"/>
            </w:pPr>
            <w:r>
              <w:rPr>
                <w:sz w:val="17"/>
                <w:szCs w:val="17"/>
              </w:rPr>
              <w:t xml:space="preserve">253</w:t>
            </w:r>
          </w:p>
        </w:tc>
      </w:tr>
    </w:tbl>
    <w:p>
      <w:pPr>
        <w:spacing w:after="200"/>
      </w:pPr>
      <w:r>
        <w:rPr>
          <w:sz w:val="8"/>
          <w:szCs w:val="8"/>
        </w:rPr>
        <w:t xml:space="preserve"/>
      </w:r>
    </w:p>
    <w:p>
      <w:pPr>
        <w:spacing w:after="160" w:line="300"/>
        <w:jc w:val="both"/>
      </w:pPr>
      <w:r>
        <w:rPr>
          <w:b/>
          <w:bCs/>
        </w:rPr>
        <w:t xml:space="preserve">How to read the conservative case.</w:t>
      </w:r>
      <w:r>
        <w:t xml:space="preserve"> The 2.5% IRR is </w:t>
      </w:r>
      <w:r>
        <w:rPr>
          <w:i/>
          <w:iCs/>
        </w:rPr>
        <w:t xml:space="preserve">not</w:t>
      </w:r>
      <w:r>
        <w:t xml:space="preserve"> a model failure - it is the demonstration that the </w:t>
      </w:r>
      <w:r>
        <w:rPr>
          <w:b/>
          <w:bCs/>
        </w:rPr>
        <w:t xml:space="preserve">fee-review mechanic works as designed</w:t>
      </w:r>
      <w:r>
        <w:t xml:space="preserve">: under combined adverse conditions (lower volumes, higher RVM costs, weak commodity prices, lower plateau), a </w:t>
      </w:r>
      <w:r>
        <w:rPr>
          <w:b/>
          <w:bCs/>
        </w:rPr>
        <w:t xml:space="preserve">+20% producer-fee reset from year 4</w:t>
      </w:r>
      <w:r>
        <w:t xml:space="preserve"> restores cost recovery. Symmetrically, the optimistic case returns surplus to producers via a </w:t>
      </w:r>
      <w:r>
        <w:rPr>
          <w:b/>
          <w:bCs/>
        </w:rPr>
        <w:t xml:space="preserve">−15% fee reset</w:t>
      </w:r>
      <w:r>
        <w:t xml:space="preserve">, honouring the non-profit cost-recovery principle. The fee-review mechanism is the system's financial governor in both directions.</w:t>
      </w:r>
    </w:p>
    <w:p>
      <w:pPr>
        <w:spacing w:after="40" w:before="200"/>
        <w:jc w:val="center"/>
      </w:pPr>
      <w:r>
        <w:drawing>
          <wp:inline distT="0" distB="0" distL="0" distR="0">
            <wp:extent cx="5524500" cy="3352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5524500" cy="3352800"/>
                    </a:xfrm>
                    <a:prstGeom prst="rect">
                      <a:avLst/>
                    </a:prstGeom>
                  </pic:spPr>
                </pic:pic>
              </a:graphicData>
            </a:graphic>
          </wp:inline>
        </w:drawing>
      </w:r>
    </w:p>
    <w:p>
      <w:pPr>
        <w:spacing w:after="240" w:before="40"/>
        <w:jc w:val="center"/>
      </w:pPr>
      <w:r>
        <w:rPr>
          <w:rFonts w:ascii="Calibri" w:cs="Calibri" w:eastAsia="Calibri" w:hAnsi="Calibri"/>
          <w:i/>
          <w:iCs/>
          <w:color w:val="4A6580"/>
          <w:sz w:val="17"/>
          <w:szCs w:val="17"/>
        </w:rPr>
        <w:t xml:space="preserve">Scenario analysis - honest bounds on the base case: Conservative / Base / Optimistic IRR, NPV, payback and peak funding.</w:t>
      </w:r>
    </w:p>
    <w:p>
      <w:pPr>
        <w:pStyle w:val="Heading2"/>
        <w:keepNext/>
        <w:spacing w:after="140" w:before="340"/>
      </w:pPr>
      <w:r>
        <w:rPr>
          <w:rFonts w:ascii="Georgia" w:cs="Georgia" w:eastAsia="Georgia" w:hAnsi="Georgia"/>
          <w:b/>
          <w:bCs/>
          <w:color w:val="1B2A4A"/>
          <w:sz w:val="30"/>
          <w:szCs w:val="30"/>
        </w:rPr>
        <w:t xml:space="preserve">10.9 Sensitivity: Fees Dominate - and the Return Rate Bites Inverted</w:t>
      </w:r>
    </w:p>
    <w:p>
      <w:pPr>
        <w:spacing w:after="160" w:line="300"/>
        <w:jc w:val="both"/>
      </w:pPr>
      <w:r>
        <w:t xml:space="preserve">One-way sensitivity of project IRR against the base case:</w:t>
      </w:r>
    </w:p>
    <w:p>
      <w:pPr>
        <w:spacing w:after="40" w:before="200"/>
        <w:jc w:val="center"/>
      </w:pPr>
      <w:r>
        <w:drawing>
          <wp:inline distT="0" distB="0" distL="0" distR="0">
            <wp:extent cx="5524500" cy="3267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5524500" cy="3267075"/>
                    </a:xfrm>
                    <a:prstGeom prst="rect">
                      <a:avLst/>
                    </a:prstGeom>
                  </pic:spPr>
                </pic:pic>
              </a:graphicData>
            </a:graphic>
          </wp:inline>
        </w:drawing>
      </w:r>
    </w:p>
    <w:p>
      <w:pPr>
        <w:spacing w:after="240" w:before="40"/>
        <w:jc w:val="center"/>
      </w:pPr>
      <w:r>
        <w:rPr>
          <w:rFonts w:ascii="Calibri" w:cs="Calibri" w:eastAsia="Calibri" w:hAnsi="Calibri"/>
          <w:i/>
          <w:iCs/>
          <w:color w:val="4A6580"/>
          <w:sz w:val="17"/>
          <w:szCs w:val="17"/>
        </w:rPr>
        <w:t xml:space="preserve">Sensitivity - producer fees dominate system economics; the return rate bites inverted (margin-dilutive at fixed fees).</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2184"/>
        <w:gridCol w:w="2184"/>
        <w:gridCol w:w="2184"/>
        <w:gridCol w:w="2186"/>
      </w:tblGrid>
      <w:tr>
        <w:trPr>
          <w:tblHeader/>
        </w:trPr>
        <w:tc>
          <w:tcPr>
            <w:tcW w:type="dxa" w:w="218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Driver</w:t>
            </w:r>
          </w:p>
        </w:tc>
        <w:tc>
          <w:tcPr>
            <w:tcW w:type="dxa" w:w="218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Downside</w:t>
            </w:r>
          </w:p>
        </w:tc>
        <w:tc>
          <w:tcPr>
            <w:tcW w:type="dxa" w:w="218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Upside</w:t>
            </w:r>
          </w:p>
        </w:tc>
        <w:tc>
          <w:tcPr>
            <w:tcW w:type="dxa" w:w="2186"/>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Swing</w:t>
            </w:r>
          </w:p>
        </w:tc>
      </w:tr>
      <w:tr>
        <w:tc>
          <w:tcPr>
            <w:tcW w:type="dxa" w:w="2184"/>
            <w:shd w:fill="FFFFFF" w:val="clear"/>
            <w:tcMar>
              <w:top w:type="dxa" w:w="80"/>
              <w:left w:type="dxa" w:w="100"/>
              <w:bottom w:type="dxa" w:w="80"/>
              <w:right w:type="dxa" w:w="100"/>
            </w:tcMar>
          </w:tcPr>
          <w:p>
            <w:pPr>
              <w:spacing w:after="0" w:line="240"/>
            </w:pPr>
            <w:r>
              <w:rPr>
                <w:b/>
                <w:bCs/>
                <w:sz w:val="17"/>
                <w:szCs w:val="17"/>
              </w:rPr>
              <w:t xml:space="preserve">Producer fees ±10%</w:t>
            </w:r>
          </w:p>
        </w:tc>
        <w:tc>
          <w:tcPr>
            <w:tcW w:type="dxa" w:w="2184"/>
            <w:shd w:fill="FFFFFF" w:val="clear"/>
            <w:tcMar>
              <w:top w:type="dxa" w:w="80"/>
              <w:left w:type="dxa" w:w="100"/>
              <w:bottom w:type="dxa" w:w="80"/>
              <w:right w:type="dxa" w:w="100"/>
            </w:tcMar>
          </w:tcPr>
          <w:p>
            <w:pPr>
              <w:spacing w:after="0" w:line="240"/>
            </w:pPr>
            <w:r>
              <w:rPr>
                <w:sz w:val="17"/>
                <w:szCs w:val="17"/>
              </w:rPr>
              <w:t xml:space="preserve">−2.8%</w:t>
            </w:r>
          </w:p>
        </w:tc>
        <w:tc>
          <w:tcPr>
            <w:tcW w:type="dxa" w:w="2184"/>
            <w:shd w:fill="FFFFFF" w:val="clear"/>
            <w:tcMar>
              <w:top w:type="dxa" w:w="80"/>
              <w:left w:type="dxa" w:w="100"/>
              <w:bottom w:type="dxa" w:w="80"/>
              <w:right w:type="dxa" w:w="100"/>
            </w:tcMar>
          </w:tcPr>
          <w:p>
            <w:pPr>
              <w:spacing w:after="0" w:line="240"/>
            </w:pPr>
            <w:r>
              <w:rPr>
                <w:sz w:val="17"/>
                <w:szCs w:val="17"/>
              </w:rPr>
              <w:t xml:space="preserve">46.5%</w:t>
            </w:r>
          </w:p>
        </w:tc>
        <w:tc>
          <w:tcPr>
            <w:tcW w:type="dxa" w:w="2186"/>
            <w:shd w:fill="FFFFFF" w:val="clear"/>
            <w:tcMar>
              <w:top w:type="dxa" w:w="80"/>
              <w:left w:type="dxa" w:w="100"/>
              <w:bottom w:type="dxa" w:w="80"/>
              <w:right w:type="dxa" w:w="100"/>
            </w:tcMar>
          </w:tcPr>
          <w:p>
            <w:pPr>
              <w:spacing w:after="0" w:line="240"/>
            </w:pPr>
            <w:r>
              <w:rPr>
                <w:b/>
                <w:bCs/>
                <w:sz w:val="17"/>
                <w:szCs w:val="17"/>
              </w:rPr>
              <w:t xml:space="preserve">49 pts - dominant</w:t>
            </w:r>
          </w:p>
        </w:tc>
      </w:tr>
      <w:tr>
        <w:tc>
          <w:tcPr>
            <w:tcW w:type="dxa" w:w="2184"/>
            <w:shd w:fill="F5F1E8" w:val="clear"/>
            <w:tcMar>
              <w:top w:type="dxa" w:w="80"/>
              <w:left w:type="dxa" w:w="100"/>
              <w:bottom w:type="dxa" w:w="80"/>
              <w:right w:type="dxa" w:w="100"/>
            </w:tcMar>
          </w:tcPr>
          <w:p>
            <w:pPr>
              <w:spacing w:after="0" w:line="240"/>
            </w:pPr>
            <w:r>
              <w:rPr>
                <w:sz w:val="17"/>
                <w:szCs w:val="17"/>
              </w:rPr>
              <w:t xml:space="preserve">rPET price ±30%</w:t>
            </w:r>
          </w:p>
        </w:tc>
        <w:tc>
          <w:tcPr>
            <w:tcW w:type="dxa" w:w="2184"/>
            <w:shd w:fill="F5F1E8" w:val="clear"/>
            <w:tcMar>
              <w:top w:type="dxa" w:w="80"/>
              <w:left w:type="dxa" w:w="100"/>
              <w:bottom w:type="dxa" w:w="80"/>
              <w:right w:type="dxa" w:w="100"/>
            </w:tcMar>
          </w:tcPr>
          <w:p>
            <w:pPr>
              <w:spacing w:after="0" w:line="240"/>
            </w:pPr>
            <w:r>
              <w:rPr>
                <w:sz w:val="17"/>
                <w:szCs w:val="17"/>
              </w:rPr>
              <w:t xml:space="preserve">10.7%</w:t>
            </w:r>
          </w:p>
        </w:tc>
        <w:tc>
          <w:tcPr>
            <w:tcW w:type="dxa" w:w="2184"/>
            <w:shd w:fill="F5F1E8" w:val="clear"/>
            <w:tcMar>
              <w:top w:type="dxa" w:w="80"/>
              <w:left w:type="dxa" w:w="100"/>
              <w:bottom w:type="dxa" w:w="80"/>
              <w:right w:type="dxa" w:w="100"/>
            </w:tcMar>
          </w:tcPr>
          <w:p>
            <w:pPr>
              <w:spacing w:after="0" w:line="240"/>
            </w:pPr>
            <w:r>
              <w:rPr>
                <w:sz w:val="17"/>
                <w:szCs w:val="17"/>
              </w:rPr>
              <w:t xml:space="preserve">39.9%</w:t>
            </w:r>
          </w:p>
        </w:tc>
        <w:tc>
          <w:tcPr>
            <w:tcW w:type="dxa" w:w="2186"/>
            <w:shd w:fill="F5F1E8" w:val="clear"/>
            <w:tcMar>
              <w:top w:type="dxa" w:w="80"/>
              <w:left w:type="dxa" w:w="100"/>
              <w:bottom w:type="dxa" w:w="80"/>
              <w:right w:type="dxa" w:w="100"/>
            </w:tcMar>
          </w:tcPr>
          <w:p>
            <w:pPr>
              <w:spacing w:after="0" w:line="240"/>
            </w:pPr>
            <w:r>
              <w:rPr>
                <w:sz w:val="17"/>
                <w:szCs w:val="17"/>
              </w:rPr>
              <w:t xml:space="preserve">29 pts</w:t>
            </w:r>
          </w:p>
        </w:tc>
      </w:tr>
      <w:tr>
        <w:tc>
          <w:tcPr>
            <w:tcW w:type="dxa" w:w="2184"/>
            <w:shd w:fill="FFFFFF" w:val="clear"/>
            <w:tcMar>
              <w:top w:type="dxa" w:w="80"/>
              <w:left w:type="dxa" w:w="100"/>
              <w:bottom w:type="dxa" w:w="80"/>
              <w:right w:type="dxa" w:w="100"/>
            </w:tcMar>
          </w:tcPr>
          <w:p>
            <w:pPr>
              <w:spacing w:after="0" w:line="240"/>
            </w:pPr>
            <w:r>
              <w:rPr>
                <w:sz w:val="17"/>
                <w:szCs w:val="17"/>
              </w:rPr>
              <w:t xml:space="preserve">RVM capex ±30%</w:t>
            </w:r>
          </w:p>
        </w:tc>
        <w:tc>
          <w:tcPr>
            <w:tcW w:type="dxa" w:w="2184"/>
            <w:shd w:fill="FFFFFF" w:val="clear"/>
            <w:tcMar>
              <w:top w:type="dxa" w:w="80"/>
              <w:left w:type="dxa" w:w="100"/>
              <w:bottom w:type="dxa" w:w="80"/>
              <w:right w:type="dxa" w:w="100"/>
            </w:tcMar>
          </w:tcPr>
          <w:p>
            <w:pPr>
              <w:spacing w:after="0" w:line="240"/>
            </w:pPr>
            <w:r>
              <w:rPr>
                <w:sz w:val="17"/>
                <w:szCs w:val="17"/>
              </w:rPr>
              <w:t xml:space="preserve">19.8%</w:t>
            </w:r>
          </w:p>
        </w:tc>
        <w:tc>
          <w:tcPr>
            <w:tcW w:type="dxa" w:w="2184"/>
            <w:shd w:fill="FFFFFF" w:val="clear"/>
            <w:tcMar>
              <w:top w:type="dxa" w:w="80"/>
              <w:left w:type="dxa" w:w="100"/>
              <w:bottom w:type="dxa" w:w="80"/>
              <w:right w:type="dxa" w:w="100"/>
            </w:tcMar>
          </w:tcPr>
          <w:p>
            <w:pPr>
              <w:spacing w:after="0" w:line="240"/>
            </w:pPr>
            <w:r>
              <w:rPr>
                <w:sz w:val="17"/>
                <w:szCs w:val="17"/>
              </w:rPr>
              <w:t xml:space="preserve">38.4%</w:t>
            </w:r>
          </w:p>
        </w:tc>
        <w:tc>
          <w:tcPr>
            <w:tcW w:type="dxa" w:w="2186"/>
            <w:shd w:fill="FFFFFF" w:val="clear"/>
            <w:tcMar>
              <w:top w:type="dxa" w:w="80"/>
              <w:left w:type="dxa" w:w="100"/>
              <w:bottom w:type="dxa" w:w="80"/>
              <w:right w:type="dxa" w:w="100"/>
            </w:tcMar>
          </w:tcPr>
          <w:p>
            <w:pPr>
              <w:spacing w:after="0" w:line="240"/>
            </w:pPr>
            <w:r>
              <w:rPr>
                <w:sz w:val="17"/>
                <w:szCs w:val="17"/>
              </w:rPr>
              <w:t xml:space="preserve">19 pts</w:t>
            </w:r>
          </w:p>
        </w:tc>
      </w:tr>
      <w:tr>
        <w:tc>
          <w:tcPr>
            <w:tcW w:type="dxa" w:w="2184"/>
            <w:shd w:fill="F5F1E8" w:val="clear"/>
            <w:tcMar>
              <w:top w:type="dxa" w:w="80"/>
              <w:left w:type="dxa" w:w="100"/>
              <w:bottom w:type="dxa" w:w="80"/>
              <w:right w:type="dxa" w:w="100"/>
            </w:tcMar>
          </w:tcPr>
          <w:p>
            <w:pPr>
              <w:spacing w:after="0" w:line="240"/>
            </w:pPr>
            <w:r>
              <w:rPr>
                <w:sz w:val="17"/>
                <w:szCs w:val="17"/>
              </w:rPr>
              <w:t xml:space="preserve">Return rate ±5 pts</w:t>
            </w:r>
          </w:p>
        </w:tc>
        <w:tc>
          <w:tcPr>
            <w:tcW w:type="dxa" w:w="2184"/>
            <w:shd w:fill="F5F1E8" w:val="clear"/>
            <w:tcMar>
              <w:top w:type="dxa" w:w="80"/>
              <w:left w:type="dxa" w:w="100"/>
              <w:bottom w:type="dxa" w:w="80"/>
              <w:right w:type="dxa" w:w="100"/>
            </w:tcMar>
          </w:tcPr>
          <w:p>
            <w:pPr>
              <w:spacing w:after="0" w:line="240"/>
            </w:pPr>
            <w:r>
              <w:rPr>
                <w:sz w:val="17"/>
                <w:szCs w:val="17"/>
              </w:rPr>
              <w:t xml:space="preserve">34.6% (−5 pts)</w:t>
            </w:r>
          </w:p>
        </w:tc>
        <w:tc>
          <w:tcPr>
            <w:tcW w:type="dxa" w:w="2184"/>
            <w:shd w:fill="F5F1E8" w:val="clear"/>
            <w:tcMar>
              <w:top w:type="dxa" w:w="80"/>
              <w:left w:type="dxa" w:w="100"/>
              <w:bottom w:type="dxa" w:w="80"/>
              <w:right w:type="dxa" w:w="100"/>
            </w:tcMar>
          </w:tcPr>
          <w:p>
            <w:pPr>
              <w:spacing w:after="0" w:line="240"/>
            </w:pPr>
            <w:r>
              <w:rPr>
                <w:sz w:val="17"/>
                <w:szCs w:val="17"/>
              </w:rPr>
              <w:t xml:space="preserve">19.0% (+5 pts)</w:t>
            </w:r>
          </w:p>
        </w:tc>
        <w:tc>
          <w:tcPr>
            <w:tcW w:type="dxa" w:w="2186"/>
            <w:shd w:fill="F5F1E8" w:val="clear"/>
            <w:tcMar>
              <w:top w:type="dxa" w:w="80"/>
              <w:left w:type="dxa" w:w="100"/>
              <w:bottom w:type="dxa" w:w="80"/>
              <w:right w:type="dxa" w:w="100"/>
            </w:tcMar>
          </w:tcPr>
          <w:p>
            <w:pPr>
              <w:spacing w:after="0" w:line="240"/>
            </w:pPr>
            <w:r>
              <w:rPr>
                <w:sz w:val="17"/>
                <w:szCs w:val="17"/>
              </w:rPr>
              <w:t xml:space="preserve">16 pts - </w:t>
            </w:r>
            <w:r>
              <w:rPr>
                <w:b/>
                <w:bCs/>
                <w:sz w:val="17"/>
                <w:szCs w:val="17"/>
              </w:rPr>
              <w:t xml:space="preserve">inverted</w:t>
            </w:r>
          </w:p>
        </w:tc>
      </w:tr>
      <w:tr>
        <w:tc>
          <w:tcPr>
            <w:tcW w:type="dxa" w:w="2184"/>
            <w:shd w:fill="FFFFFF" w:val="clear"/>
            <w:tcMar>
              <w:top w:type="dxa" w:w="80"/>
              <w:left w:type="dxa" w:w="100"/>
              <w:bottom w:type="dxa" w:w="80"/>
              <w:right w:type="dxa" w:w="100"/>
            </w:tcMar>
          </w:tcPr>
          <w:p>
            <w:pPr>
              <w:spacing w:after="0" w:line="240"/>
            </w:pPr>
            <w:r>
              <w:rPr>
                <w:sz w:val="17"/>
                <w:szCs w:val="17"/>
              </w:rPr>
              <w:t xml:space="preserve">Variable cost ±15%</w:t>
            </w:r>
          </w:p>
        </w:tc>
        <w:tc>
          <w:tcPr>
            <w:tcW w:type="dxa" w:w="2184"/>
            <w:shd w:fill="FFFFFF" w:val="clear"/>
            <w:tcMar>
              <w:top w:type="dxa" w:w="80"/>
              <w:left w:type="dxa" w:w="100"/>
              <w:bottom w:type="dxa" w:w="80"/>
              <w:right w:type="dxa" w:w="100"/>
            </w:tcMar>
          </w:tcPr>
          <w:p>
            <w:pPr>
              <w:spacing w:after="0" w:line="240"/>
            </w:pPr>
            <w:r>
              <w:rPr>
                <w:sz w:val="17"/>
                <w:szCs w:val="17"/>
              </w:rPr>
              <w:t xml:space="preserve">n.m. (requires fee reset)</w:t>
            </w:r>
          </w:p>
        </w:tc>
        <w:tc>
          <w:tcPr>
            <w:tcW w:type="dxa" w:w="2184"/>
            <w:shd w:fill="FFFFFF" w:val="clear"/>
            <w:tcMar>
              <w:top w:type="dxa" w:w="80"/>
              <w:left w:type="dxa" w:w="100"/>
              <w:bottom w:type="dxa" w:w="80"/>
              <w:right w:type="dxa" w:w="100"/>
            </w:tcMar>
          </w:tcPr>
          <w:p>
            <w:pPr>
              <w:spacing w:after="0" w:line="240"/>
            </w:pPr>
            <w:r>
              <w:rPr>
                <w:sz w:val="17"/>
                <w:szCs w:val="17"/>
              </w:rPr>
              <w:t xml:space="preserve">51.9%</w:t>
            </w:r>
          </w:p>
        </w:tc>
        <w:tc>
          <w:tcPr>
            <w:tcW w:type="dxa" w:w="2186"/>
            <w:shd w:fill="FFFFFF" w:val="clear"/>
            <w:tcMar>
              <w:top w:type="dxa" w:w="80"/>
              <w:left w:type="dxa" w:w="100"/>
              <w:bottom w:type="dxa" w:w="80"/>
              <w:right w:type="dxa" w:w="100"/>
            </w:tcMar>
          </w:tcPr>
          <w:p>
            <w:pPr>
              <w:spacing w:after="0" w:line="240"/>
            </w:pPr>
            <w:r>
              <w:rPr>
                <w:sz w:val="17"/>
                <w:szCs w:val="17"/>
              </w:rPr>
              <w:t xml:space="preserve">large</w:t>
            </w:r>
          </w:p>
        </w:tc>
      </w:tr>
      <w:tr>
        <w:tc>
          <w:tcPr>
            <w:tcW w:type="dxa" w:w="2184"/>
            <w:shd w:fill="F5F1E8" w:val="clear"/>
            <w:tcMar>
              <w:top w:type="dxa" w:w="80"/>
              <w:left w:type="dxa" w:w="100"/>
              <w:bottom w:type="dxa" w:w="80"/>
              <w:right w:type="dxa" w:w="100"/>
            </w:tcMar>
          </w:tcPr>
          <w:p>
            <w:pPr>
              <w:spacing w:after="0" w:line="240"/>
            </w:pPr>
            <w:r>
              <w:rPr>
                <w:sz w:val="17"/>
                <w:szCs w:val="17"/>
              </w:rPr>
              <w:t xml:space="preserve">UBC price ±30%</w:t>
            </w:r>
          </w:p>
        </w:tc>
        <w:tc>
          <w:tcPr>
            <w:tcW w:type="dxa" w:w="2184"/>
            <w:shd w:fill="F5F1E8" w:val="clear"/>
            <w:tcMar>
              <w:top w:type="dxa" w:w="80"/>
              <w:left w:type="dxa" w:w="100"/>
              <w:bottom w:type="dxa" w:w="80"/>
              <w:right w:type="dxa" w:w="100"/>
            </w:tcMar>
          </w:tcPr>
          <w:p>
            <w:pPr>
              <w:spacing w:after="0" w:line="240"/>
            </w:pPr>
            <w:r>
              <w:rPr>
                <w:sz w:val="17"/>
                <w:szCs w:val="17"/>
              </w:rPr>
              <w:t xml:space="preserve">24.2%</w:t>
            </w:r>
          </w:p>
        </w:tc>
        <w:tc>
          <w:tcPr>
            <w:tcW w:type="dxa" w:w="2184"/>
            <w:shd w:fill="F5F1E8" w:val="clear"/>
            <w:tcMar>
              <w:top w:type="dxa" w:w="80"/>
              <w:left w:type="dxa" w:w="100"/>
              <w:bottom w:type="dxa" w:w="80"/>
              <w:right w:type="dxa" w:w="100"/>
            </w:tcMar>
          </w:tcPr>
          <w:p>
            <w:pPr>
              <w:spacing w:after="0" w:line="240"/>
            </w:pPr>
            <w:r>
              <w:rPr>
                <w:sz w:val="17"/>
                <w:szCs w:val="17"/>
              </w:rPr>
              <w:t xml:space="preserve">30.5%</w:t>
            </w:r>
          </w:p>
        </w:tc>
        <w:tc>
          <w:tcPr>
            <w:tcW w:type="dxa" w:w="2186"/>
            <w:shd w:fill="F5F1E8" w:val="clear"/>
            <w:tcMar>
              <w:top w:type="dxa" w:w="80"/>
              <w:left w:type="dxa" w:w="100"/>
              <w:bottom w:type="dxa" w:w="80"/>
              <w:right w:type="dxa" w:w="100"/>
            </w:tcMar>
          </w:tcPr>
          <w:p>
            <w:pPr>
              <w:spacing w:after="0" w:line="240"/>
            </w:pPr>
            <w:r>
              <w:rPr>
                <w:sz w:val="17"/>
                <w:szCs w:val="17"/>
              </w:rPr>
              <w:t xml:space="preserve">6 pts</w:t>
            </w:r>
          </w:p>
        </w:tc>
      </w:tr>
    </w:tbl>
    <w:p>
      <w:pPr>
        <w:spacing w:after="200"/>
      </w:pPr>
      <w:r>
        <w:rPr>
          <w:sz w:val="8"/>
          <w:szCs w:val="8"/>
        </w:rPr>
        <w:t xml:space="preserve"/>
      </w:r>
    </w:p>
    <w:p>
      <w:pPr>
        <w:spacing w:after="160" w:line="300"/>
        <w:jc w:val="both"/>
      </w:pPr>
      <w:r>
        <w:t xml:space="preserve">Two findings deserve ministerial attention:</w:t>
      </w:r>
    </w:p>
    <w:p>
      <w:pPr>
        <w:spacing w:after="90" w:line="290"/>
        <w:ind w:left="380" w:hanging="180"/>
      </w:pPr>
      <w:r>
        <w:rPr>
          <w:b/>
          <w:bCs/>
          <w:color w:val="1B2A4A"/>
        </w:rPr>
        <w:t xml:space="preserve">1. </w:t>
      </w:r>
      <w:r>
        <w:rPr>
          <w:b/>
          <w:bCs/>
        </w:rPr>
        <w:t xml:space="preserve">Producer fees are the single dominant value driver.</w:t>
      </w:r>
      <w:r>
        <w:t xml:space="preserve"> A ±10% fee movement swings IRR by 49 points. This makes the fee-setting and review process - not commodity markets or technology costs - the critical governance function.</w:t>
      </w:r>
    </w:p>
    <w:p>
      <w:pPr>
        <w:spacing w:after="90" w:line="290"/>
        <w:ind w:left="380" w:hanging="180"/>
      </w:pPr>
      <w:r>
        <w:rPr>
          <w:b/>
          <w:bCs/>
          <w:color w:val="1B2A4A"/>
        </w:rPr>
        <w:t xml:space="preserve">2. </w:t>
      </w:r>
      <w:r>
        <w:rPr>
          <w:b/>
          <w:bCs/>
        </w:rPr>
        <w:t xml:space="preserve">The return-rate sensitivity is inverted - and the design already contains the remedy.</w:t>
      </w:r>
      <w:r>
        <w:t xml:space="preserve"> Because unredeemed deposits are </w:t>
      </w:r>
      <w:r>
        <w:rPr>
          <w:i/>
          <w:iCs/>
        </w:rPr>
        <w:t xml:space="preserve">not</w:t>
      </w:r>
      <w:r>
        <w:t xml:space="preserve"> operator revenue in this design, each additional returned container adds ~AED 0.22 of variable cost against only ~AED 0.09 of material value: </w:t>
      </w:r>
      <w:r>
        <w:rPr>
          <w:b/>
          <w:bCs/>
        </w:rPr>
        <w:t xml:space="preserve">higher redemption is margin-dilutive at fixed fees.</w:t>
      </w:r>
      <w:r>
        <w:t xml:space="preserve"> The same dynamic exists in Ireland and Norway, where unredeemed-deposit income shrinks as redemption rises. We present this honestly rather than obscuring it: the system's economics must be, and are, stabilised by setting producer fees on an </w:t>
      </w:r>
      <w:r>
        <w:rPr>
          <w:b/>
          <w:bCs/>
        </w:rPr>
        <w:t xml:space="preserve">annual cost-recovery formula</w:t>
      </w:r>
      <w:r>
        <w:t xml:space="preserve"> so that performance success never threatens solvency. This is precisely Ireland's lesson - "producer fees must be set for the steady state, not the ramp-up" (Re-turn Annual Report, 2024).</w:t>
      </w:r>
    </w:p>
    <w:p>
      <w:pPr>
        <w:pStyle w:val="Heading2"/>
        <w:keepNext/>
        <w:spacing w:after="140" w:before="340"/>
      </w:pPr>
      <w:r>
        <w:rPr>
          <w:rFonts w:ascii="Georgia" w:cs="Georgia" w:eastAsia="Georgia" w:hAnsi="Georgia"/>
          <w:b/>
          <w:bCs/>
          <w:color w:val="1B2A4A"/>
          <w:sz w:val="30"/>
          <w:szCs w:val="30"/>
        </w:rPr>
        <w:t xml:space="preserve">10.10 Macro-Economic Impact</w:t>
      </w:r>
    </w:p>
    <w:p>
      <w:pPr>
        <w:spacing w:after="160" w:line="300"/>
        <w:jc w:val="both"/>
      </w:pPr>
      <w:r>
        <w:t xml:space="preserve">Beyond the system P&amp;L, the DRS generates measurable national economic value:</w:t>
      </w:r>
    </w:p>
    <w:p>
      <w:pPr>
        <w:spacing w:after="40" w:before="200"/>
        <w:jc w:val="center"/>
      </w:pPr>
      <w:r>
        <w:drawing>
          <wp:inline distT="0" distB="0" distL="0" distR="0">
            <wp:extent cx="5524500" cy="3562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5524500" cy="3562350"/>
                    </a:xfrm>
                    <a:prstGeom prst="rect">
                      <a:avLst/>
                    </a:prstGeom>
                  </pic:spPr>
                </pic:pic>
              </a:graphicData>
            </a:graphic>
          </wp:inline>
        </w:drawing>
      </w:r>
    </w:p>
    <w:p>
      <w:pPr>
        <w:spacing w:after="240" w:before="40"/>
        <w:jc w:val="center"/>
      </w:pPr>
      <w:r>
        <w:rPr>
          <w:rFonts w:ascii="Calibri" w:cs="Calibri" w:eastAsia="Calibri" w:hAnsi="Calibri"/>
          <w:i/>
          <w:iCs/>
          <w:color w:val="4A6580"/>
          <w:sz w:val="17"/>
          <w:szCs w:val="17"/>
        </w:rPr>
        <w:t xml:space="preserve">Employment impact - ~450-500 direct SPV jobs and ~1,200-1,500 total (estimate), anchored on Romania's 800+ operator jobs.</w:t>
      </w:r>
    </w:p>
    <w:p>
      <w:pPr>
        <w:spacing w:after="160" w:line="300"/>
        <w:jc w:val="both"/>
      </w:pPr>
      <w:r>
        <w:rPr>
          <w:b/>
          <w:bCs/>
        </w:rPr>
        <w:t xml:space="preserve">Employment: ~1,200-1,500 jobs.</w:t>
      </w:r>
      <w:r>
        <w:t xml:space="preserve"> Approximately 450-500 direct SPV positions plus logistics and indirect employment. The anchor is Romania, where RetuRO created </w:t>
      </w:r>
      <w:r>
        <w:rPr>
          <w:b/>
          <w:bCs/>
        </w:rPr>
        <w:t xml:space="preserve">800+ direct green jobs within 14 months</w:t>
      </w:r>
      <w:r>
        <w:t xml:space="preserve"> for a ~7-billion-unit system (RECYCLING magazine, 2025); the UAE system is roughly half that volume.</w:t>
      </w:r>
    </w:p>
    <w:p>
      <w:pPr>
        <w:spacing w:after="160" w:line="300"/>
        <w:jc w:val="both"/>
      </w:pPr>
      <w:r>
        <w:rPr>
          <w:b/>
          <w:bCs/>
        </w:rPr>
        <w:t xml:space="preserve">Material value retention and import substitution.</w:t>
      </w:r>
      <w:r>
        <w:t xml:space="preserve"> At steady state the system returns ~AED 331m/yr of high-purity rPET, UBC and cullet to the economy. DRS-collected PET commands a </w:t>
      </w:r>
      <w:r>
        <w:rPr>
          <w:b/>
          <w:bCs/>
        </w:rPr>
        <w:t xml:space="preserve">15-25% bale premium</w:t>
      </w:r>
      <w:r>
        <w:t xml:space="preserve"> over curbside material due to purity (Polyestertime, 2026), and food-grade rPET carries a structural premium driven by recycled-content mandates (ICIS via Recycling Today, 2025). For the UAE - which imports the bulk of its packaging resin - domestic supply of certified food-grade recyclate substitutes imports and supports the national circular-economy agenda. [DATA GAP: AED quantification of packaging-resin import substitution - no UAE-specific resin import value series was available in the research base]</w:t>
      </w:r>
    </w:p>
    <w:p>
      <w:pPr>
        <w:spacing w:after="160" w:line="300"/>
        <w:jc w:val="both"/>
      </w:pPr>
      <w:r>
        <w:rPr>
          <w:b/>
          <w:bCs/>
        </w:rPr>
        <w:t xml:space="preserve">Landfill cost avoidance.</w:t>
      </w:r>
      <w:r>
        <w:t xml:space="preserve"> Every container returned is a container diverted from landfill and municipal collection, avoiding gate fees and extending landfill life. [DATA GAP: UAE-specific landfill gate-fee / avoided-disposal-cost series - not available in the research base; quantify at implementation-plan stage using emirate-level tariff data]</w:t>
      </w:r>
    </w:p>
    <w:p>
      <w:pPr>
        <w:spacing w:after="160" w:line="300"/>
        <w:jc w:val="both"/>
      </w:pPr>
      <w:r>
        <w:rPr>
          <w:b/>
          <w:bCs/>
        </w:rPr>
        <w:t xml:space="preserve">Litter and cleanup savings.</w:t>
      </w:r>
      <w:r>
        <w:t xml:space="preserve"> International experience associates deposit systems with sharp reductions in beverage-container litter, reducing municipal cleanup burden and protecting marine environments. [DATA GAP: quantified UAE litter-cleanup cost savings - no UAE baseline litter-cost study was available in the research base; recommend commissioning one as a pre-launch baseline]</w:t>
      </w:r>
    </w:p>
    <w:p>
      <w:pPr>
        <w:spacing w:after="160" w:line="300"/>
        <w:jc w:val="both"/>
      </w:pPr>
      <w:r>
        <w:t xml:space="preserve">These unquantified benefits are deliberately excluded from the IRR and NPV above - the financial case stands on system cash flows alone, with macro-economic upside as additional margin for the nation.</w:t>
      </w:r>
    </w:p>
    <w:p>
      <w:pPr>
        <w:pStyle w:val="Heading2"/>
        <w:keepNext/>
        <w:spacing w:after="140" w:before="340"/>
      </w:pPr>
      <w:r>
        <w:rPr>
          <w:rFonts w:ascii="Georgia" w:cs="Georgia" w:eastAsia="Georgia" w:hAnsi="Georgia"/>
          <w:b/>
          <w:bCs/>
          <w:color w:val="1B2A4A"/>
          <w:sz w:val="30"/>
          <w:szCs w:val="30"/>
        </w:rPr>
        <w:t xml:space="preserve">10.11 Conclusion</w:t>
      </w:r>
    </w:p>
    <w:p>
      <w:pPr>
        <w:spacing w:after="160" w:line="300"/>
        <w:jc w:val="both"/>
      </w:pPr>
      <w:r>
        <w:t xml:space="preserve">The base case is robust: </w:t>
      </w:r>
      <w:r>
        <w:rPr>
          <w:b/>
          <w:bCs/>
        </w:rPr>
        <w:t xml:space="preserve">AED 664m of phased capital builds a system that pays back by 2031, generates a 27.7% unlevered IRR, and operates at cost recovery with a transparent, non-profit fee governor.</w:t>
      </w:r>
      <w:r>
        <w:t xml:space="preserve"> The design's financial credibility rests on three pillars - benchmarked costs (Ireland's audited actuals), conservative revenue decks, and an explicit fee-review mechanism that keeps the system solvent in the conservative scenario and returns surplus in the optimistic one. Most importantly, the model requires </w:t>
      </w:r>
      <w:r>
        <w:rPr>
          <w:b/>
          <w:bCs/>
        </w:rPr>
        <w:t xml:space="preserve">no public subsidy and no dependence on consumer non-redemption</w:t>
      </w:r>
      <w:r>
        <w:t xml:space="preserve">: deposits remain consumer money in escrow, producers fund the system they place on the market, and recovered materials pay their share.</w:t>
      </w:r>
    </w:p>
    <w:p>
      <w:pPr>
        <w:pageBreakBefore/>
        <w:spacing w:after="120" w:before="3600"/>
        <w:jc w:val="center"/>
      </w:pPr>
      <w:r>
        <w:rPr>
          <w:rFonts w:ascii="Georgia" w:cs="Georgia" w:eastAsia="Georgia" w:hAnsi="Georgia"/>
          <w:b/>
          <w:bCs/>
          <w:color w:val="C9A227"/>
          <w:spacing w:val="60"/>
          <w:sz w:val="26"/>
          <w:szCs w:val="26"/>
        </w:rPr>
        <w:t xml:space="preserve">PART V</w:t>
      </w:r>
    </w:p>
    <w:p>
      <w:pPr>
        <w:pStyle w:val="Heading1"/>
        <w:spacing w:after="200"/>
        <w:jc w:val="center"/>
      </w:pPr>
      <w:r>
        <w:rPr>
          <w:rFonts w:ascii="Georgia" w:cs="Georgia" w:eastAsia="Georgia" w:hAnsi="Georgia"/>
          <w:b/>
          <w:bCs/>
          <w:color w:val="1B2A4A"/>
          <w:sz w:val="56"/>
          <w:szCs w:val="56"/>
        </w:rPr>
        <w:t xml:space="preserve">Sources &amp; Annexes</w:t>
      </w:r>
    </w:p>
    <w:p>
      <w:pPr>
        <w:pBdr>
          <w:bottom w:val="single" w:color="C9A227" w:sz="12" w:space="1"/>
        </w:pBdr>
        <w:spacing w:after="200"/>
        <w:jc w:val="center"/>
      </w:pPr>
      <w:r>
        <w:rPr>
          <w:sz w:val="8"/>
          <w:szCs w:val="8"/>
        </w:rPr>
        <w:t xml:space="preserve"> </w:t>
      </w:r>
    </w:p>
    <w:p>
      <w:pPr>
        <w:pageBreakBefore/>
        <w:spacing w:after="80" w:before="0"/>
      </w:pPr>
      <w:r>
        <w:rPr>
          <w:rFonts w:ascii="Georgia" w:cs="Georgia" w:eastAsia="Georgia" w:hAnsi="Georgia"/>
          <w:b/>
          <w:bCs/>
          <w:color w:val="C9A227"/>
          <w:spacing w:val="40"/>
          <w:sz w:val="20"/>
          <w:szCs w:val="20"/>
        </w:rPr>
        <w:t xml:space="preserve">CHAPTER 11</w:t>
      </w:r>
    </w:p>
    <w:p>
      <w:pPr>
        <w:pStyle w:val="Heading1"/>
        <w:pBdr>
          <w:bottom w:val="single" w:color="C9A227" w:sz="10" w:space="4"/>
        </w:pBdr>
        <w:spacing w:after="280"/>
      </w:pPr>
      <w:r>
        <w:rPr>
          <w:rFonts w:ascii="Georgia" w:cs="Georgia" w:eastAsia="Georgia" w:hAnsi="Georgia"/>
          <w:b/>
          <w:bCs/>
          <w:color w:val="1B2A4A"/>
          <w:sz w:val="44"/>
          <w:szCs w:val="44"/>
        </w:rPr>
        <w:t xml:space="preserve">Sources &amp; Methodology</w:t>
      </w:r>
    </w:p>
    <w:p>
      <w:pPr>
        <w:pStyle w:val="Heading2"/>
        <w:keepNext/>
        <w:spacing w:after="140" w:before="340"/>
      </w:pPr>
      <w:r>
        <w:rPr>
          <w:rFonts w:ascii="Georgia" w:cs="Georgia" w:eastAsia="Georgia" w:hAnsi="Georgia"/>
          <w:b/>
          <w:bCs/>
          <w:color w:val="1B2A4A"/>
          <w:sz w:val="30"/>
          <w:szCs w:val="30"/>
        </w:rPr>
        <w:t xml:space="preserve">11.1 Research basis</w:t>
      </w:r>
    </w:p>
    <w:p>
      <w:pPr>
        <w:spacing w:after="160" w:line="300"/>
        <w:jc w:val="both"/>
      </w:pPr>
      <w:r>
        <w:t xml:space="preserve">This study is built on seven research briefs prepared for this engagement (all dated 26 July 2026), each an internally citable source. Full source URLs are recorded in the briefs themselves.</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2912"/>
        <w:gridCol w:w="2912"/>
        <w:gridCol w:w="2914"/>
      </w:tblGrid>
      <w:tr>
        <w:trPr>
          <w:tblHeader/>
        </w:trPr>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Brief</w:t>
            </w:r>
          </w:p>
        </w:tc>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Title</w:t>
            </w:r>
          </w:p>
        </w:tc>
        <w:tc>
          <w:tcPr>
            <w:tcW w:type="dxa" w:w="291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Role in this study</w:t>
            </w:r>
          </w:p>
        </w:tc>
      </w:tr>
      <w:tr>
        <w:tc>
          <w:tcPr>
            <w:tcW w:type="dxa" w:w="2912"/>
            <w:shd w:fill="FFFFFF" w:val="clear"/>
            <w:tcMar>
              <w:top w:type="dxa" w:w="80"/>
              <w:left w:type="dxa" w:w="100"/>
              <w:bottom w:type="dxa" w:w="80"/>
              <w:right w:type="dxa" w:w="100"/>
            </w:tcMar>
          </w:tcPr>
          <w:p>
            <w:pPr>
              <w:spacing w:after="0" w:line="240"/>
            </w:pPr>
            <w:r>
              <w:rPr>
                <w:sz w:val="17"/>
                <w:szCs w:val="17"/>
              </w:rPr>
              <w:t xml:space="preserve">R1</w:t>
            </w:r>
          </w:p>
        </w:tc>
        <w:tc>
          <w:tcPr>
            <w:tcW w:type="dxa" w:w="2912"/>
            <w:shd w:fill="FFFFFF" w:val="clear"/>
            <w:tcMar>
              <w:top w:type="dxa" w:w="80"/>
              <w:left w:type="dxa" w:w="100"/>
              <w:bottom w:type="dxa" w:w="80"/>
              <w:right w:type="dxa" w:w="100"/>
            </w:tcMar>
          </w:tcPr>
          <w:p>
            <w:pPr>
              <w:spacing w:after="0" w:line="240"/>
            </w:pPr>
            <w:r>
              <w:rPr>
                <w:sz w:val="17"/>
                <w:szCs w:val="17"/>
              </w:rPr>
              <w:t xml:space="preserve">Global DRS Benchmarks</w:t>
            </w:r>
          </w:p>
        </w:tc>
        <w:tc>
          <w:tcPr>
            <w:tcW w:type="dxa" w:w="2914"/>
            <w:shd w:fill="FFFFFF" w:val="clear"/>
            <w:tcMar>
              <w:top w:type="dxa" w:w="80"/>
              <w:left w:type="dxa" w:w="100"/>
              <w:bottom w:type="dxa" w:w="80"/>
              <w:right w:type="dxa" w:w="100"/>
            </w:tcMar>
          </w:tcPr>
          <w:p>
            <w:pPr>
              <w:spacing w:after="0" w:line="240"/>
            </w:pPr>
            <w:r>
              <w:rPr>
                <w:sz w:val="17"/>
                <w:szCs w:val="17"/>
              </w:rPr>
              <w:t xml:space="preserve">All international benchmark facts: return rates, deposits, governance and financing structures, launch ramp-ups, cautionary cases (Chapters 3, 4, 6, 7, 8)</w:t>
            </w:r>
          </w:p>
        </w:tc>
      </w:tr>
      <w:tr>
        <w:tc>
          <w:tcPr>
            <w:tcW w:type="dxa" w:w="2912"/>
            <w:shd w:fill="F5F1E8" w:val="clear"/>
            <w:tcMar>
              <w:top w:type="dxa" w:w="80"/>
              <w:left w:type="dxa" w:w="100"/>
              <w:bottom w:type="dxa" w:w="80"/>
              <w:right w:type="dxa" w:w="100"/>
            </w:tcMar>
          </w:tcPr>
          <w:p>
            <w:pPr>
              <w:spacing w:after="0" w:line="240"/>
            </w:pPr>
            <w:r>
              <w:rPr>
                <w:sz w:val="17"/>
                <w:szCs w:val="17"/>
              </w:rPr>
              <w:t xml:space="preserve">R2</w:t>
            </w:r>
          </w:p>
        </w:tc>
        <w:tc>
          <w:tcPr>
            <w:tcW w:type="dxa" w:w="2912"/>
            <w:shd w:fill="F5F1E8" w:val="clear"/>
            <w:tcMar>
              <w:top w:type="dxa" w:w="80"/>
              <w:left w:type="dxa" w:w="100"/>
              <w:bottom w:type="dxa" w:w="80"/>
              <w:right w:type="dxa" w:w="100"/>
            </w:tcMar>
          </w:tcPr>
          <w:p>
            <w:pPr>
              <w:spacing w:after="0" w:line="240"/>
            </w:pPr>
            <w:r>
              <w:rPr>
                <w:sz w:val="17"/>
                <w:szCs w:val="17"/>
              </w:rPr>
              <w:t xml:space="preserve">UAE Policy &amp; Regulatory Landscape</w:t>
            </w:r>
          </w:p>
        </w:tc>
        <w:tc>
          <w:tcPr>
            <w:tcW w:type="dxa" w:w="2914"/>
            <w:shd w:fill="F5F1E8" w:val="clear"/>
            <w:tcMar>
              <w:top w:type="dxa" w:w="80"/>
              <w:left w:type="dxa" w:w="100"/>
              <w:bottom w:type="dxa" w:w="80"/>
              <w:right w:type="dxa" w:w="100"/>
            </w:tcMar>
          </w:tcPr>
          <w:p>
            <w:pPr>
              <w:spacing w:after="0" w:line="240"/>
            </w:pPr>
            <w:r>
              <w:rPr>
                <w:sz w:val="17"/>
                <w:szCs w:val="17"/>
              </w:rPr>
              <w:t xml:space="preserve">Federal and emirate instruments, the MOCCAE-Tadweer EPR pilot, the legal pathway (Chapters 3, 7)</w:t>
            </w:r>
          </w:p>
        </w:tc>
      </w:tr>
      <w:tr>
        <w:tc>
          <w:tcPr>
            <w:tcW w:type="dxa" w:w="2912"/>
            <w:shd w:fill="FFFFFF" w:val="clear"/>
            <w:tcMar>
              <w:top w:type="dxa" w:w="80"/>
              <w:left w:type="dxa" w:w="100"/>
              <w:bottom w:type="dxa" w:w="80"/>
              <w:right w:type="dxa" w:w="100"/>
            </w:tcMar>
          </w:tcPr>
          <w:p>
            <w:pPr>
              <w:spacing w:after="0" w:line="240"/>
            </w:pPr>
            <w:r>
              <w:rPr>
                <w:sz w:val="17"/>
                <w:szCs w:val="17"/>
              </w:rPr>
              <w:t xml:space="preserve">R3</w:t>
            </w:r>
          </w:p>
        </w:tc>
        <w:tc>
          <w:tcPr>
            <w:tcW w:type="dxa" w:w="2912"/>
            <w:shd w:fill="FFFFFF" w:val="clear"/>
            <w:tcMar>
              <w:top w:type="dxa" w:w="80"/>
              <w:left w:type="dxa" w:w="100"/>
              <w:bottom w:type="dxa" w:w="80"/>
              <w:right w:type="dxa" w:w="100"/>
            </w:tcMar>
          </w:tcPr>
          <w:p>
            <w:pPr>
              <w:spacing w:after="0" w:line="240"/>
            </w:pPr>
            <w:r>
              <w:rPr>
                <w:sz w:val="17"/>
                <w:szCs w:val="17"/>
              </w:rPr>
              <w:t xml:space="preserve">UAE Market Assessment</w:t>
            </w:r>
          </w:p>
        </w:tc>
        <w:tc>
          <w:tcPr>
            <w:tcW w:type="dxa" w:w="2914"/>
            <w:shd w:fill="FFFFFF" w:val="clear"/>
            <w:tcMar>
              <w:top w:type="dxa" w:w="80"/>
              <w:left w:type="dxa" w:w="100"/>
              <w:bottom w:type="dxa" w:w="80"/>
              <w:right w:type="dxa" w:w="100"/>
            </w:tcMar>
          </w:tcPr>
          <w:p>
            <w:pPr>
              <w:spacing w:after="0" w:line="240"/>
            </w:pPr>
            <w:r>
              <w:rPr>
                <w:sz w:val="17"/>
                <w:szCs w:val="17"/>
              </w:rPr>
              <w:t xml:space="preserve">Consumption and container volumes, producer and retail landscape, recycling infrastructure, waste-flow economics (Chapter 5)</w:t>
            </w:r>
          </w:p>
        </w:tc>
      </w:tr>
      <w:tr>
        <w:tc>
          <w:tcPr>
            <w:tcW w:type="dxa" w:w="2912"/>
            <w:shd w:fill="F5F1E8" w:val="clear"/>
            <w:tcMar>
              <w:top w:type="dxa" w:w="80"/>
              <w:left w:type="dxa" w:w="100"/>
              <w:bottom w:type="dxa" w:w="80"/>
              <w:right w:type="dxa" w:w="100"/>
            </w:tcMar>
          </w:tcPr>
          <w:p>
            <w:pPr>
              <w:spacing w:after="0" w:line="240"/>
            </w:pPr>
            <w:r>
              <w:rPr>
                <w:sz w:val="17"/>
                <w:szCs w:val="17"/>
              </w:rPr>
              <w:t xml:space="preserve">R4</w:t>
            </w:r>
          </w:p>
        </w:tc>
        <w:tc>
          <w:tcPr>
            <w:tcW w:type="dxa" w:w="2912"/>
            <w:shd w:fill="F5F1E8" w:val="clear"/>
            <w:tcMar>
              <w:top w:type="dxa" w:w="80"/>
              <w:left w:type="dxa" w:w="100"/>
              <w:bottom w:type="dxa" w:w="80"/>
              <w:right w:type="dxa" w:w="100"/>
            </w:tcMar>
          </w:tcPr>
          <w:p>
            <w:pPr>
              <w:spacing w:after="0" w:line="240"/>
            </w:pPr>
            <w:r>
              <w:rPr>
                <w:sz w:val="17"/>
                <w:szCs w:val="17"/>
              </w:rPr>
              <w:t xml:space="preserve">DRS Economics &amp; Technology</w:t>
            </w:r>
          </w:p>
        </w:tc>
        <w:tc>
          <w:tcPr>
            <w:tcW w:type="dxa" w:w="2914"/>
            <w:shd w:fill="F5F1E8" w:val="clear"/>
            <w:tcMar>
              <w:top w:type="dxa" w:w="80"/>
              <w:left w:type="dxa" w:w="100"/>
              <w:bottom w:type="dxa" w:w="80"/>
              <w:right w:type="dxa" w:w="100"/>
            </w:tcMar>
          </w:tcPr>
          <w:p>
            <w:pPr>
              <w:spacing w:after="0" w:line="240"/>
            </w:pPr>
            <w:r>
              <w:rPr>
                <w:sz w:val="17"/>
                <w:szCs w:val="17"/>
              </w:rPr>
              <w:t xml:space="preserve">Cost and fee benchmarks, technology and IT evidence, financing precedents (Chapters 6, 10)</w:t>
            </w:r>
          </w:p>
        </w:tc>
      </w:tr>
      <w:tr>
        <w:tc>
          <w:tcPr>
            <w:tcW w:type="dxa" w:w="2912"/>
            <w:shd w:fill="FFFFFF" w:val="clear"/>
            <w:tcMar>
              <w:top w:type="dxa" w:w="80"/>
              <w:left w:type="dxa" w:w="100"/>
              <w:bottom w:type="dxa" w:w="80"/>
              <w:right w:type="dxa" w:w="100"/>
            </w:tcMar>
          </w:tcPr>
          <w:p>
            <w:pPr>
              <w:spacing w:after="0" w:line="240"/>
            </w:pPr>
            <w:r>
              <w:rPr>
                <w:sz w:val="17"/>
                <w:szCs w:val="17"/>
              </w:rPr>
              <w:t xml:space="preserve">R5</w:t>
            </w:r>
          </w:p>
        </w:tc>
        <w:tc>
          <w:tcPr>
            <w:tcW w:type="dxa" w:w="2912"/>
            <w:shd w:fill="FFFFFF" w:val="clear"/>
            <w:tcMar>
              <w:top w:type="dxa" w:w="80"/>
              <w:left w:type="dxa" w:w="100"/>
              <w:bottom w:type="dxa" w:w="80"/>
              <w:right w:type="dxa" w:w="100"/>
            </w:tcMar>
          </w:tcPr>
          <w:p>
            <w:pPr>
              <w:spacing w:after="0" w:line="240"/>
            </w:pPr>
            <w:r>
              <w:rPr>
                <w:sz w:val="17"/>
                <w:szCs w:val="17"/>
              </w:rPr>
              <w:t xml:space="preserve">Internal Documents</w:t>
            </w:r>
          </w:p>
        </w:tc>
        <w:tc>
          <w:tcPr>
            <w:tcW w:type="dxa" w:w="2914"/>
            <w:shd w:fill="FFFFFF" w:val="clear"/>
            <w:tcMar>
              <w:top w:type="dxa" w:w="80"/>
              <w:left w:type="dxa" w:w="100"/>
              <w:bottom w:type="dxa" w:w="80"/>
              <w:right w:type="dxa" w:w="100"/>
            </w:tcMar>
          </w:tcPr>
          <w:p>
            <w:pPr>
              <w:spacing w:after="0" w:line="240"/>
            </w:pPr>
            <w:r>
              <w:rPr>
                <w:sz w:val="17"/>
                <w:szCs w:val="17"/>
              </w:rPr>
              <w:t xml:space="preserve">Segen Project Description commitments; UAE DRS Market Survey volumes, float analysis and standing caveats (Chapters 1, 2, 5)</w:t>
            </w:r>
          </w:p>
        </w:tc>
      </w:tr>
      <w:tr>
        <w:tc>
          <w:tcPr>
            <w:tcW w:type="dxa" w:w="2912"/>
            <w:shd w:fill="F5F1E8" w:val="clear"/>
            <w:tcMar>
              <w:top w:type="dxa" w:w="80"/>
              <w:left w:type="dxa" w:w="100"/>
              <w:bottom w:type="dxa" w:w="80"/>
              <w:right w:type="dxa" w:w="100"/>
            </w:tcMar>
          </w:tcPr>
          <w:p>
            <w:pPr>
              <w:spacing w:after="0" w:line="240"/>
            </w:pPr>
            <w:r>
              <w:rPr>
                <w:sz w:val="17"/>
                <w:szCs w:val="17"/>
              </w:rPr>
              <w:t xml:space="preserve">R6</w:t>
            </w:r>
          </w:p>
        </w:tc>
        <w:tc>
          <w:tcPr>
            <w:tcW w:type="dxa" w:w="2912"/>
            <w:shd w:fill="F5F1E8" w:val="clear"/>
            <w:tcMar>
              <w:top w:type="dxa" w:w="80"/>
              <w:left w:type="dxa" w:w="100"/>
              <w:bottom w:type="dxa" w:w="80"/>
              <w:right w:type="dxa" w:w="100"/>
            </w:tcMar>
          </w:tcPr>
          <w:p>
            <w:pPr>
              <w:spacing w:after="0" w:line="240"/>
            </w:pPr>
            <w:r>
              <w:rPr>
                <w:sz w:val="17"/>
                <w:szCs w:val="17"/>
              </w:rPr>
              <w:t xml:space="preserve">Media Asset Inventory</w:t>
            </w:r>
          </w:p>
        </w:tc>
        <w:tc>
          <w:tcPr>
            <w:tcW w:type="dxa" w:w="2914"/>
            <w:shd w:fill="F5F1E8" w:val="clear"/>
            <w:tcMar>
              <w:top w:type="dxa" w:w="80"/>
              <w:left w:type="dxa" w:w="100"/>
              <w:bottom w:type="dxa" w:w="80"/>
              <w:right w:type="dxa" w:w="100"/>
            </w:tcMar>
          </w:tcPr>
          <w:p>
            <w:pPr>
              <w:spacing w:after="0" w:line="240"/>
            </w:pPr>
            <w:r>
              <w:rPr>
                <w:sz w:val="17"/>
                <w:szCs w:val="17"/>
              </w:rPr>
              <w:t xml:space="preserve">Field media of European benchmark operations (the Lithuanian system); captioning and usage rules - no asset depicts UAE infrastructure</w:t>
            </w:r>
          </w:p>
        </w:tc>
      </w:tr>
      <w:tr>
        <w:tc>
          <w:tcPr>
            <w:tcW w:type="dxa" w:w="2912"/>
            <w:shd w:fill="FFFFFF" w:val="clear"/>
            <w:tcMar>
              <w:top w:type="dxa" w:w="80"/>
              <w:left w:type="dxa" w:w="100"/>
              <w:bottom w:type="dxa" w:w="80"/>
              <w:right w:type="dxa" w:w="100"/>
            </w:tcMar>
          </w:tcPr>
          <w:p>
            <w:pPr>
              <w:spacing w:after="0" w:line="240"/>
            </w:pPr>
            <w:r>
              <w:rPr>
                <w:sz w:val="17"/>
                <w:szCs w:val="17"/>
              </w:rPr>
              <w:t xml:space="preserve">R7</w:t>
            </w:r>
          </w:p>
        </w:tc>
        <w:tc>
          <w:tcPr>
            <w:tcW w:type="dxa" w:w="2912"/>
            <w:shd w:fill="FFFFFF" w:val="clear"/>
            <w:tcMar>
              <w:top w:type="dxa" w:w="80"/>
              <w:left w:type="dxa" w:w="100"/>
              <w:bottom w:type="dxa" w:w="80"/>
              <w:right w:type="dxa" w:w="100"/>
            </w:tcMar>
          </w:tcPr>
          <w:p>
            <w:pPr>
              <w:spacing w:after="0" w:line="240"/>
            </w:pPr>
            <w:r>
              <w:rPr>
                <w:sz w:val="17"/>
                <w:szCs w:val="17"/>
              </w:rPr>
              <w:t xml:space="preserve">Financial Assumptions Memo</w:t>
            </w:r>
          </w:p>
        </w:tc>
        <w:tc>
          <w:tcPr>
            <w:tcW w:type="dxa" w:w="2914"/>
            <w:shd w:fill="FFFFFF" w:val="clear"/>
            <w:tcMar>
              <w:top w:type="dxa" w:w="80"/>
              <w:left w:type="dxa" w:w="100"/>
              <w:bottom w:type="dxa" w:w="80"/>
              <w:right w:type="dxa" w:w="100"/>
            </w:tcMar>
          </w:tcPr>
          <w:p>
            <w:pPr>
              <w:spacing w:after="0" w:line="240"/>
            </w:pPr>
            <w:r>
              <w:rPr>
                <w:sz w:val="17"/>
                <w:szCs w:val="17"/>
              </w:rPr>
              <w:t xml:space="preserve">Single citable source for every headline financial figure (Chapters 1, 4, 6, 8, 9, 10); companion artefact `final\Segen_DRS_Financial_Model.xlsx`</w:t>
            </w:r>
          </w:p>
        </w:tc>
      </w:tr>
    </w:tbl>
    <w:p>
      <w:pPr>
        <w:spacing w:after="200"/>
      </w:pPr>
      <w:r>
        <w:rPr>
          <w:sz w:val="8"/>
          <w:szCs w:val="8"/>
        </w:rPr>
        <w:t xml:space="preserve"/>
      </w:r>
    </w:p>
    <w:p>
      <w:pPr>
        <w:pStyle w:val="Heading2"/>
        <w:keepNext/>
        <w:spacing w:after="140" w:before="340"/>
      </w:pPr>
      <w:r>
        <w:rPr>
          <w:rFonts w:ascii="Georgia" w:cs="Georgia" w:eastAsia="Georgia" w:hAnsi="Georgia"/>
          <w:b/>
          <w:bCs/>
          <w:color w:val="1B2A4A"/>
          <w:sz w:val="30"/>
          <w:szCs w:val="30"/>
        </w:rPr>
        <w:t xml:space="preserve">11.2 Citation style</w:t>
      </w:r>
    </w:p>
    <w:p>
      <w:pPr>
        <w:spacing w:after="160" w:line="300"/>
        <w:jc w:val="both"/>
      </w:pPr>
      <w:r>
        <w:t xml:space="preserve">In-text citations follow a </w:t>
      </w:r>
      <w:r>
        <w:rPr>
          <w:b/>
          <w:bCs/>
        </w:rPr>
        <w:t xml:space="preserve">(Publisher, Year)</w:t>
      </w:r>
      <w:r>
        <w:t xml:space="preserve"> convention - e.g. (Reloop, 2024), (USAD, 2019), (EGA, 2024), (Abu Dhabi Media Office, 2025). Internal commitments are cited to their source document (Project Description, 2026). Every financial headline figure traces to the R7 memo and the linked financial model.</w:t>
      </w:r>
    </w:p>
    <w:p>
      <w:pPr>
        <w:pStyle w:val="Heading2"/>
        <w:keepNext/>
        <w:spacing w:after="140" w:before="340"/>
      </w:pPr>
      <w:r>
        <w:rPr>
          <w:rFonts w:ascii="Georgia" w:cs="Georgia" w:eastAsia="Georgia" w:hAnsi="Georgia"/>
          <w:b/>
          <w:bCs/>
          <w:color w:val="1B2A4A"/>
          <w:sz w:val="30"/>
          <w:szCs w:val="30"/>
        </w:rPr>
        <w:t xml:space="preserve">11.3 Data-status labels</w:t>
      </w:r>
    </w:p>
    <w:p>
      <w:pPr>
        <w:spacing w:after="160" w:line="300"/>
        <w:jc w:val="both"/>
      </w:pPr>
      <w:r>
        <w:t xml:space="preserve">Figures are labelled </w:t>
      </w:r>
      <w:r>
        <w:rPr>
          <w:b/>
          <w:bCs/>
        </w:rPr>
        <w:t xml:space="preserve">[PUBLISHED]</w:t>
      </w:r>
      <w:r>
        <w:t xml:space="preserve"> (government, corporate-primary or academic sources), </w:t>
      </w:r>
      <w:r>
        <w:rPr>
          <w:b/>
          <w:bCs/>
        </w:rPr>
        <w:t xml:space="preserve">[ESTIMATE]</w:t>
      </w:r>
      <w:r>
        <w:t xml:space="preserve"> (market-research models and analyst estimates) or </w:t>
      </w:r>
      <w:r>
        <w:rPr>
          <w:b/>
          <w:bCs/>
        </w:rPr>
        <w:t xml:space="preserve">[DATA GAP]</w:t>
      </w:r>
      <w:r>
        <w:t xml:space="preserve"> (no credible figure exists; a validation action is named rather than a number invented). Modelled container volumes carry the market survey's standing caveat: estimates require validation with producer/importer SKU-level data before policy design.</w:t>
      </w:r>
    </w:p>
    <w:p>
      <w:pPr>
        <w:pStyle w:val="Heading2"/>
        <w:keepNext/>
        <w:spacing w:after="140" w:before="340"/>
      </w:pPr>
      <w:r>
        <w:rPr>
          <w:rFonts w:ascii="Georgia" w:cs="Georgia" w:eastAsia="Georgia" w:hAnsi="Georgia"/>
          <w:b/>
          <w:bCs/>
          <w:color w:val="1B2A4A"/>
          <w:sz w:val="30"/>
          <w:szCs w:val="30"/>
        </w:rPr>
        <w:t xml:space="preserve">11.4 Standing data gaps and Phase-1 validation actions</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2912"/>
        <w:gridCol w:w="2912"/>
        <w:gridCol w:w="2914"/>
      </w:tblGrid>
      <w:tr>
        <w:trPr>
          <w:tblHeader/>
        </w:trPr>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w:t>
            </w:r>
          </w:p>
        </w:tc>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Gap</w:t>
            </w:r>
          </w:p>
        </w:tc>
        <w:tc>
          <w:tcPr>
            <w:tcW w:type="dxa" w:w="291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Validation action</w:t>
            </w:r>
          </w:p>
        </w:tc>
      </w:tr>
      <w:tr>
        <w:tc>
          <w:tcPr>
            <w:tcW w:type="dxa" w:w="2912"/>
            <w:shd w:fill="FFFFFF" w:val="clear"/>
            <w:tcMar>
              <w:top w:type="dxa" w:w="80"/>
              <w:left w:type="dxa" w:w="100"/>
              <w:bottom w:type="dxa" w:w="80"/>
              <w:right w:type="dxa" w:w="100"/>
            </w:tcMar>
          </w:tcPr>
          <w:p>
            <w:pPr>
              <w:spacing w:after="0" w:line="240"/>
            </w:pPr>
            <w:r>
              <w:rPr>
                <w:sz w:val="17"/>
                <w:szCs w:val="17"/>
              </w:rPr>
              <w:t xml:space="preserve">1</w:t>
            </w:r>
          </w:p>
        </w:tc>
        <w:tc>
          <w:tcPr>
            <w:tcW w:type="dxa" w:w="2912"/>
            <w:shd w:fill="FFFFFF" w:val="clear"/>
            <w:tcMar>
              <w:top w:type="dxa" w:w="80"/>
              <w:left w:type="dxa" w:w="100"/>
              <w:bottom w:type="dxa" w:w="80"/>
              <w:right w:type="dxa" w:w="100"/>
            </w:tcMar>
          </w:tcPr>
          <w:p>
            <w:pPr>
              <w:spacing w:after="0" w:line="240"/>
            </w:pPr>
            <w:r>
              <w:rPr>
                <w:sz w:val="17"/>
                <w:szCs w:val="17"/>
              </w:rPr>
              <w:t xml:space="preserve">No official UAE count of DRS-eligible PET containers placed on market</w:t>
            </w:r>
          </w:p>
        </w:tc>
        <w:tc>
          <w:tcPr>
            <w:tcW w:type="dxa" w:w="2914"/>
            <w:shd w:fill="FFFFFF" w:val="clear"/>
            <w:tcMar>
              <w:top w:type="dxa" w:w="80"/>
              <w:left w:type="dxa" w:w="100"/>
              <w:bottom w:type="dxa" w:w="80"/>
              <w:right w:type="dxa" w:w="100"/>
            </w:tcMar>
          </w:tcPr>
          <w:p>
            <w:pPr>
              <w:spacing w:after="0" w:line="240"/>
            </w:pPr>
            <w:r>
              <w:rPr>
                <w:sz w:val="17"/>
                <w:szCs w:val="17"/>
              </w:rPr>
              <w:t xml:space="preserve">Mandatory SKU-level producer/importer reporting (material, size, one-way vs reusable, barcode, annual units, channel split)</w:t>
            </w:r>
          </w:p>
        </w:tc>
      </w:tr>
      <w:tr>
        <w:tc>
          <w:tcPr>
            <w:tcW w:type="dxa" w:w="2912"/>
            <w:shd w:fill="F5F1E8" w:val="clear"/>
            <w:tcMar>
              <w:top w:type="dxa" w:w="80"/>
              <w:left w:type="dxa" w:w="100"/>
              <w:bottom w:type="dxa" w:w="80"/>
              <w:right w:type="dxa" w:w="100"/>
            </w:tcMar>
          </w:tcPr>
          <w:p>
            <w:pPr>
              <w:spacing w:after="0" w:line="240"/>
            </w:pPr>
            <w:r>
              <w:rPr>
                <w:sz w:val="17"/>
                <w:szCs w:val="17"/>
              </w:rPr>
              <w:t xml:space="preserve">2</w:t>
            </w:r>
          </w:p>
        </w:tc>
        <w:tc>
          <w:tcPr>
            <w:tcW w:type="dxa" w:w="2912"/>
            <w:shd w:fill="F5F1E8" w:val="clear"/>
            <w:tcMar>
              <w:top w:type="dxa" w:w="80"/>
              <w:left w:type="dxa" w:w="100"/>
              <w:bottom w:type="dxa" w:w="80"/>
              <w:right w:type="dxa" w:w="100"/>
            </w:tcMar>
          </w:tcPr>
          <w:p>
            <w:pPr>
              <w:spacing w:after="0" w:line="240"/>
            </w:pPr>
            <w:r>
              <w:rPr>
                <w:sz w:val="17"/>
                <w:szCs w:val="17"/>
              </w:rPr>
              <w:t xml:space="preserve">No national glass beverage-container figure (~0.18bn units is an analyst estimate)</w:t>
            </w:r>
          </w:p>
        </w:tc>
        <w:tc>
          <w:tcPr>
            <w:tcW w:type="dxa" w:w="2914"/>
            <w:shd w:fill="F5F1E8" w:val="clear"/>
            <w:tcMar>
              <w:top w:type="dxa" w:w="80"/>
              <w:left w:type="dxa" w:w="100"/>
              <w:bottom w:type="dxa" w:w="80"/>
              <w:right w:type="dxa" w:w="100"/>
            </w:tcMar>
          </w:tcPr>
          <w:p>
            <w:pPr>
              <w:spacing w:after="0" w:line="240"/>
            </w:pPr>
            <w:r>
              <w:rPr>
                <w:sz w:val="17"/>
                <w:szCs w:val="17"/>
              </w:rPr>
              <w:t xml:space="preserve">Hospitality-channel and importer study in Phase 1</w:t>
            </w:r>
          </w:p>
        </w:tc>
      </w:tr>
      <w:tr>
        <w:tc>
          <w:tcPr>
            <w:tcW w:type="dxa" w:w="2912"/>
            <w:shd w:fill="FFFFFF" w:val="clear"/>
            <w:tcMar>
              <w:top w:type="dxa" w:w="80"/>
              <w:left w:type="dxa" w:w="100"/>
              <w:bottom w:type="dxa" w:w="80"/>
              <w:right w:type="dxa" w:w="100"/>
            </w:tcMar>
          </w:tcPr>
          <w:p>
            <w:pPr>
              <w:spacing w:after="0" w:line="240"/>
            </w:pPr>
            <w:r>
              <w:rPr>
                <w:sz w:val="17"/>
                <w:szCs w:val="17"/>
              </w:rPr>
              <w:t xml:space="preserve">3</w:t>
            </w:r>
          </w:p>
        </w:tc>
        <w:tc>
          <w:tcPr>
            <w:tcW w:type="dxa" w:w="2912"/>
            <w:shd w:fill="FFFFFF" w:val="clear"/>
            <w:tcMar>
              <w:top w:type="dxa" w:w="80"/>
              <w:left w:type="dxa" w:w="100"/>
              <w:bottom w:type="dxa" w:w="80"/>
              <w:right w:type="dxa" w:w="100"/>
            </w:tcMar>
          </w:tcPr>
          <w:p>
            <w:pPr>
              <w:spacing w:after="0" w:line="240"/>
            </w:pPr>
            <w:r>
              <w:rPr>
                <w:sz w:val="17"/>
                <w:szCs w:val="17"/>
              </w:rPr>
              <w:t xml:space="preserve">Final scope, fees and treatment of beverage containers in the expected 2026 national EPR framework not yet public</w:t>
            </w:r>
          </w:p>
        </w:tc>
        <w:tc>
          <w:tcPr>
            <w:tcW w:type="dxa" w:w="2914"/>
            <w:shd w:fill="FFFFFF" w:val="clear"/>
            <w:tcMar>
              <w:top w:type="dxa" w:w="80"/>
              <w:left w:type="dxa" w:w="100"/>
              <w:bottom w:type="dxa" w:w="80"/>
              <w:right w:type="dxa" w:w="100"/>
            </w:tcMar>
          </w:tcPr>
          <w:p>
            <w:pPr>
              <w:spacing w:after="0" w:line="240"/>
            </w:pPr>
            <w:r>
              <w:rPr>
                <w:sz w:val="17"/>
                <w:szCs w:val="17"/>
              </w:rPr>
              <w:t xml:space="preserve">Track publication; align DRS instrument per Chapter 7</w:t>
            </w:r>
          </w:p>
        </w:tc>
      </w:tr>
      <w:tr>
        <w:tc>
          <w:tcPr>
            <w:tcW w:type="dxa" w:w="2912"/>
            <w:shd w:fill="F5F1E8" w:val="clear"/>
            <w:tcMar>
              <w:top w:type="dxa" w:w="80"/>
              <w:left w:type="dxa" w:w="100"/>
              <w:bottom w:type="dxa" w:w="80"/>
              <w:right w:type="dxa" w:w="100"/>
            </w:tcMar>
          </w:tcPr>
          <w:p>
            <w:pPr>
              <w:spacing w:after="0" w:line="240"/>
            </w:pPr>
            <w:r>
              <w:rPr>
                <w:sz w:val="17"/>
                <w:szCs w:val="17"/>
              </w:rPr>
              <w:t xml:space="preserve">4</w:t>
            </w:r>
          </w:p>
        </w:tc>
        <w:tc>
          <w:tcPr>
            <w:tcW w:type="dxa" w:w="2912"/>
            <w:shd w:fill="F5F1E8" w:val="clear"/>
            <w:tcMar>
              <w:top w:type="dxa" w:w="80"/>
              <w:left w:type="dxa" w:w="100"/>
              <w:bottom w:type="dxa" w:w="80"/>
              <w:right w:type="dxa" w:w="100"/>
            </w:tcMar>
          </w:tcPr>
          <w:p>
            <w:pPr>
              <w:spacing w:after="0" w:line="240"/>
            </w:pPr>
            <w:r>
              <w:rPr>
                <w:sz w:val="17"/>
                <w:szCs w:val="17"/>
              </w:rPr>
              <w:t xml:space="preserve">Veolia Repeet rPET plant commissioning status unverified</w:t>
            </w:r>
          </w:p>
        </w:tc>
        <w:tc>
          <w:tcPr>
            <w:tcW w:type="dxa" w:w="2914"/>
            <w:shd w:fill="F5F1E8" w:val="clear"/>
            <w:tcMar>
              <w:top w:type="dxa" w:w="80"/>
              <w:left w:type="dxa" w:w="100"/>
              <w:bottom w:type="dxa" w:w="80"/>
              <w:right w:type="dxa" w:w="100"/>
            </w:tcMar>
          </w:tcPr>
          <w:p>
            <w:pPr>
              <w:spacing w:after="0" w:line="240"/>
            </w:pPr>
            <w:r>
              <w:rPr>
                <w:sz w:val="17"/>
                <w:szCs w:val="17"/>
              </w:rPr>
              <w:t xml:space="preserve">Confirm with MoIAT/Veolia before offtake commitments</w:t>
            </w:r>
          </w:p>
        </w:tc>
      </w:tr>
      <w:tr>
        <w:tc>
          <w:tcPr>
            <w:tcW w:type="dxa" w:w="2912"/>
            <w:shd w:fill="FFFFFF" w:val="clear"/>
            <w:tcMar>
              <w:top w:type="dxa" w:w="80"/>
              <w:left w:type="dxa" w:w="100"/>
              <w:bottom w:type="dxa" w:w="80"/>
              <w:right w:type="dxa" w:w="100"/>
            </w:tcMar>
          </w:tcPr>
          <w:p>
            <w:pPr>
              <w:spacing w:after="0" w:line="240"/>
            </w:pPr>
            <w:r>
              <w:rPr>
                <w:sz w:val="17"/>
                <w:szCs w:val="17"/>
              </w:rPr>
              <w:t xml:space="preserve">5</w:t>
            </w:r>
          </w:p>
        </w:tc>
        <w:tc>
          <w:tcPr>
            <w:tcW w:type="dxa" w:w="2912"/>
            <w:shd w:fill="FFFFFF" w:val="clear"/>
            <w:tcMar>
              <w:top w:type="dxa" w:w="80"/>
              <w:left w:type="dxa" w:w="100"/>
              <w:bottom w:type="dxa" w:w="80"/>
              <w:right w:type="dxa" w:w="100"/>
            </w:tcMar>
          </w:tcPr>
          <w:p>
            <w:pPr>
              <w:spacing w:after="0" w:line="240"/>
            </w:pPr>
            <w:r>
              <w:rPr>
                <w:sz w:val="17"/>
                <w:szCs w:val="17"/>
              </w:rPr>
              <w:t xml:space="preserve">ADNOC/ENOC station and convenience-store counts not verified</w:t>
            </w:r>
          </w:p>
        </w:tc>
        <w:tc>
          <w:tcPr>
            <w:tcW w:type="dxa" w:w="2914"/>
            <w:shd w:fill="FFFFFF" w:val="clear"/>
            <w:tcMar>
              <w:top w:type="dxa" w:w="80"/>
              <w:left w:type="dxa" w:w="100"/>
              <w:bottom w:type="dxa" w:w="80"/>
              <w:right w:type="dxa" w:w="100"/>
            </w:tcMar>
          </w:tcPr>
          <w:p>
            <w:pPr>
              <w:spacing w:after="0" w:line="240"/>
            </w:pPr>
            <w:r>
              <w:rPr>
                <w:sz w:val="17"/>
                <w:szCs w:val="17"/>
              </w:rPr>
              <w:t xml:space="preserve">Verify in Phase 1 for fuel-retail return-channel design</w:t>
            </w:r>
          </w:p>
        </w:tc>
      </w:tr>
      <w:tr>
        <w:tc>
          <w:tcPr>
            <w:tcW w:type="dxa" w:w="2912"/>
            <w:shd w:fill="F5F1E8" w:val="clear"/>
            <w:tcMar>
              <w:top w:type="dxa" w:w="80"/>
              <w:left w:type="dxa" w:w="100"/>
              <w:bottom w:type="dxa" w:w="80"/>
              <w:right w:type="dxa" w:w="100"/>
            </w:tcMar>
          </w:tcPr>
          <w:p>
            <w:pPr>
              <w:spacing w:after="0" w:line="240"/>
            </w:pPr>
            <w:r>
              <w:rPr>
                <w:sz w:val="17"/>
                <w:szCs w:val="17"/>
              </w:rPr>
              <w:t xml:space="preserve">6</w:t>
            </w:r>
          </w:p>
        </w:tc>
        <w:tc>
          <w:tcPr>
            <w:tcW w:type="dxa" w:w="2912"/>
            <w:shd w:fill="F5F1E8" w:val="clear"/>
            <w:tcMar>
              <w:top w:type="dxa" w:w="80"/>
              <w:left w:type="dxa" w:w="100"/>
              <w:bottom w:type="dxa" w:w="80"/>
              <w:right w:type="dxa" w:w="100"/>
            </w:tcMar>
          </w:tcPr>
          <w:p>
            <w:pPr>
              <w:spacing w:after="0" w:line="240"/>
            </w:pPr>
            <w:r>
              <w:rPr>
                <w:sz w:val="17"/>
                <w:szCs w:val="17"/>
              </w:rPr>
              <w:t xml:space="preserve">Per-emirate landfill fee schedules beyond Dubai not retrieved</w:t>
            </w:r>
          </w:p>
        </w:tc>
        <w:tc>
          <w:tcPr>
            <w:tcW w:type="dxa" w:w="2914"/>
            <w:shd w:fill="F5F1E8" w:val="clear"/>
            <w:tcMar>
              <w:top w:type="dxa" w:w="80"/>
              <w:left w:type="dxa" w:w="100"/>
              <w:bottom w:type="dxa" w:w="80"/>
              <w:right w:type="dxa" w:w="100"/>
            </w:tcMar>
          </w:tcPr>
          <w:p>
            <w:pPr>
              <w:spacing w:after="0" w:line="240"/>
            </w:pPr>
            <w:r>
              <w:rPr>
                <w:sz w:val="17"/>
                <w:szCs w:val="17"/>
              </w:rPr>
              <w:t xml:space="preserve">Collect via emirate implementation agreements</w:t>
            </w:r>
          </w:p>
        </w:tc>
      </w:tr>
      <w:tr>
        <w:tc>
          <w:tcPr>
            <w:tcW w:type="dxa" w:w="2912"/>
            <w:shd w:fill="FFFFFF" w:val="clear"/>
            <w:tcMar>
              <w:top w:type="dxa" w:w="80"/>
              <w:left w:type="dxa" w:w="100"/>
              <w:bottom w:type="dxa" w:w="80"/>
              <w:right w:type="dxa" w:w="100"/>
            </w:tcMar>
          </w:tcPr>
          <w:p>
            <w:pPr>
              <w:spacing w:after="0" w:line="240"/>
            </w:pPr>
            <w:r>
              <w:rPr>
                <w:sz w:val="17"/>
                <w:szCs w:val="17"/>
              </w:rPr>
              <w:t xml:space="preserve">7</w:t>
            </w:r>
          </w:p>
        </w:tc>
        <w:tc>
          <w:tcPr>
            <w:tcW w:type="dxa" w:w="2912"/>
            <w:shd w:fill="FFFFFF" w:val="clear"/>
            <w:tcMar>
              <w:top w:type="dxa" w:w="80"/>
              <w:left w:type="dxa" w:w="100"/>
              <w:bottom w:type="dxa" w:w="80"/>
              <w:right w:type="dxa" w:w="100"/>
            </w:tcMar>
          </w:tcPr>
          <w:p>
            <w:pPr>
              <w:spacing w:after="0" w:line="240"/>
            </w:pPr>
            <w:r>
              <w:rPr>
                <w:sz w:val="17"/>
                <w:szCs w:val="17"/>
              </w:rPr>
              <w:t xml:space="preserve">Informal collection sector size and economics unstudied</w:t>
            </w:r>
          </w:p>
        </w:tc>
        <w:tc>
          <w:tcPr>
            <w:tcW w:type="dxa" w:w="2914"/>
            <w:shd w:fill="FFFFFF" w:val="clear"/>
            <w:tcMar>
              <w:top w:type="dxa" w:w="80"/>
              <w:left w:type="dxa" w:w="100"/>
              <w:bottom w:type="dxa" w:w="80"/>
              <w:right w:type="dxa" w:w="100"/>
            </w:tcMar>
          </w:tcPr>
          <w:p>
            <w:pPr>
              <w:spacing w:after="0" w:line="240"/>
            </w:pPr>
            <w:r>
              <w:rPr>
                <w:sz w:val="17"/>
                <w:szCs w:val="17"/>
              </w:rPr>
              <w:t xml:space="preserve">Social-integration design study in Phase 2</w:t>
            </w:r>
          </w:p>
        </w:tc>
      </w:tr>
      <w:tr>
        <w:tc>
          <w:tcPr>
            <w:tcW w:type="dxa" w:w="2912"/>
            <w:shd w:fill="F5F1E8" w:val="clear"/>
            <w:tcMar>
              <w:top w:type="dxa" w:w="80"/>
              <w:left w:type="dxa" w:w="100"/>
              <w:bottom w:type="dxa" w:w="80"/>
              <w:right w:type="dxa" w:w="100"/>
            </w:tcMar>
          </w:tcPr>
          <w:p>
            <w:pPr>
              <w:spacing w:after="0" w:line="240"/>
            </w:pPr>
            <w:r>
              <w:rPr>
                <w:sz w:val="17"/>
                <w:szCs w:val="17"/>
              </w:rPr>
              <w:t xml:space="preserve">8</w:t>
            </w:r>
          </w:p>
        </w:tc>
        <w:tc>
          <w:tcPr>
            <w:tcW w:type="dxa" w:w="2912"/>
            <w:shd w:fill="F5F1E8" w:val="clear"/>
            <w:tcMar>
              <w:top w:type="dxa" w:w="80"/>
              <w:left w:type="dxa" w:w="100"/>
              <w:bottom w:type="dxa" w:w="80"/>
              <w:right w:type="dxa" w:w="100"/>
            </w:tcMar>
          </w:tcPr>
          <w:p>
            <w:pPr>
              <w:spacing w:after="0" w:line="240"/>
            </w:pPr>
            <w:r>
              <w:rPr>
                <w:sz w:val="17"/>
                <w:szCs w:val="17"/>
              </w:rPr>
              <w:t xml:space="preserve">Sparklo national machine count and cumulative collections not published; EAD cumulative series beyond 2024 unreconciled</w:t>
            </w:r>
          </w:p>
        </w:tc>
        <w:tc>
          <w:tcPr>
            <w:tcW w:type="dxa" w:w="2914"/>
            <w:shd w:fill="F5F1E8" w:val="clear"/>
            <w:tcMar>
              <w:top w:type="dxa" w:w="80"/>
              <w:left w:type="dxa" w:w="100"/>
              <w:bottom w:type="dxa" w:w="80"/>
              <w:right w:type="dxa" w:w="100"/>
            </w:tcMar>
          </w:tcPr>
          <w:p>
            <w:pPr>
              <w:spacing w:after="0" w:line="240"/>
            </w:pPr>
            <w:r>
              <w:rPr>
                <w:sz w:val="17"/>
                <w:szCs w:val="17"/>
              </w:rPr>
              <w:t xml:space="preserve">Reconcile with EAD/Sparklo in Phase 1</w:t>
            </w:r>
          </w:p>
        </w:tc>
      </w:tr>
      <w:tr>
        <w:tc>
          <w:tcPr>
            <w:tcW w:type="dxa" w:w="2912"/>
            <w:shd w:fill="FFFFFF" w:val="clear"/>
            <w:tcMar>
              <w:top w:type="dxa" w:w="80"/>
              <w:left w:type="dxa" w:w="100"/>
              <w:bottom w:type="dxa" w:w="80"/>
              <w:right w:type="dxa" w:w="100"/>
            </w:tcMar>
          </w:tcPr>
          <w:p>
            <w:pPr>
              <w:spacing w:after="0" w:line="240"/>
            </w:pPr>
            <w:r>
              <w:rPr>
                <w:sz w:val="17"/>
                <w:szCs w:val="17"/>
              </w:rPr>
              <w:t xml:space="preserve">9</w:t>
            </w:r>
          </w:p>
        </w:tc>
        <w:tc>
          <w:tcPr>
            <w:tcW w:type="dxa" w:w="2912"/>
            <w:shd w:fill="FFFFFF" w:val="clear"/>
            <w:tcMar>
              <w:top w:type="dxa" w:w="80"/>
              <w:left w:type="dxa" w:w="100"/>
              <w:bottom w:type="dxa" w:w="80"/>
              <w:right w:type="dxa" w:w="100"/>
            </w:tcMar>
          </w:tcPr>
          <w:p>
            <w:pPr>
              <w:spacing w:after="0" w:line="240"/>
            </w:pPr>
            <w:r>
              <w:rPr>
                <w:sz w:val="17"/>
                <w:szCs w:val="17"/>
              </w:rPr>
              <w:t xml:space="preserve">Türkiye first-year return-rate performance (system live 1 July 2026)</w:t>
            </w:r>
          </w:p>
        </w:tc>
        <w:tc>
          <w:tcPr>
            <w:tcW w:type="dxa" w:w="2914"/>
            <w:shd w:fill="FFFFFF" w:val="clear"/>
            <w:tcMar>
              <w:top w:type="dxa" w:w="80"/>
              <w:left w:type="dxa" w:w="100"/>
              <w:bottom w:type="dxa" w:w="80"/>
              <w:right w:type="dxa" w:w="100"/>
            </w:tcMar>
          </w:tcPr>
          <w:p>
            <w:pPr>
              <w:spacing w:after="0" w:line="240"/>
            </w:pPr>
            <w:r>
              <w:rPr>
                <w:sz w:val="17"/>
                <w:szCs w:val="17"/>
              </w:rPr>
              <w:t xml:space="preserve">Monitor quarterly; input to the year-2 deposit review</w:t>
            </w:r>
          </w:p>
        </w:tc>
      </w:tr>
      <w:tr>
        <w:tc>
          <w:tcPr>
            <w:tcW w:type="dxa" w:w="2912"/>
            <w:shd w:fill="F5F1E8" w:val="clear"/>
            <w:tcMar>
              <w:top w:type="dxa" w:w="80"/>
              <w:left w:type="dxa" w:w="100"/>
              <w:bottom w:type="dxa" w:w="80"/>
              <w:right w:type="dxa" w:w="100"/>
            </w:tcMar>
          </w:tcPr>
          <w:p>
            <w:pPr>
              <w:spacing w:after="0" w:line="240"/>
            </w:pPr>
            <w:r>
              <w:rPr>
                <w:sz w:val="17"/>
                <w:szCs w:val="17"/>
              </w:rPr>
              <w:t xml:space="preserve">10</w:t>
            </w:r>
          </w:p>
        </w:tc>
        <w:tc>
          <w:tcPr>
            <w:tcW w:type="dxa" w:w="2912"/>
            <w:shd w:fill="F5F1E8" w:val="clear"/>
            <w:tcMar>
              <w:top w:type="dxa" w:w="80"/>
              <w:left w:type="dxa" w:w="100"/>
              <w:bottom w:type="dxa" w:w="80"/>
              <w:right w:type="dxa" w:w="100"/>
            </w:tcMar>
          </w:tcPr>
          <w:p>
            <w:pPr>
              <w:spacing w:after="0" w:line="240"/>
            </w:pPr>
            <w:r>
              <w:rPr>
                <w:sz w:val="17"/>
                <w:szCs w:val="17"/>
              </w:rPr>
              <w:t xml:space="preserve">National DRS central-IT contract values; quantified DRS fraud rates; MENA rPET/UBC/cullet price series</w:t>
            </w:r>
          </w:p>
        </w:tc>
        <w:tc>
          <w:tcPr>
            <w:tcW w:type="dxa" w:w="2914"/>
            <w:shd w:fill="F5F1E8" w:val="clear"/>
            <w:tcMar>
              <w:top w:type="dxa" w:w="80"/>
              <w:left w:type="dxa" w:w="100"/>
              <w:bottom w:type="dxa" w:w="80"/>
              <w:right w:type="dxa" w:w="100"/>
            </w:tcMar>
          </w:tcPr>
          <w:p>
            <w:pPr>
              <w:spacing w:after="0" w:line="240"/>
            </w:pPr>
            <w:r>
              <w:rPr>
                <w:sz w:val="17"/>
                <w:szCs w:val="17"/>
              </w:rPr>
              <w:t xml:space="preserve">Procure vendor benchmarks; proxy with EU/US/Asian series</w:t>
            </w:r>
          </w:p>
        </w:tc>
      </w:tr>
      <w:tr>
        <w:tc>
          <w:tcPr>
            <w:tcW w:type="dxa" w:w="2912"/>
            <w:shd w:fill="FFFFFF" w:val="clear"/>
            <w:tcMar>
              <w:top w:type="dxa" w:w="80"/>
              <w:left w:type="dxa" w:w="100"/>
              <w:bottom w:type="dxa" w:w="80"/>
              <w:right w:type="dxa" w:w="100"/>
            </w:tcMar>
          </w:tcPr>
          <w:p>
            <w:pPr>
              <w:spacing w:after="0" w:line="240"/>
            </w:pPr>
            <w:r>
              <w:rPr>
                <w:sz w:val="17"/>
                <w:szCs w:val="17"/>
              </w:rPr>
              <w:t xml:space="preserve">11</w:t>
            </w:r>
          </w:p>
        </w:tc>
        <w:tc>
          <w:tcPr>
            <w:tcW w:type="dxa" w:w="2912"/>
            <w:shd w:fill="FFFFFF" w:val="clear"/>
            <w:tcMar>
              <w:top w:type="dxa" w:w="80"/>
              <w:left w:type="dxa" w:w="100"/>
              <w:bottom w:type="dxa" w:w="80"/>
              <w:right w:type="dxa" w:w="100"/>
            </w:tcMar>
          </w:tcPr>
          <w:p>
            <w:pPr>
              <w:spacing w:after="0" w:line="240"/>
            </w:pPr>
            <w:r>
              <w:rPr>
                <w:sz w:val="17"/>
                <w:szCs w:val="17"/>
              </w:rPr>
              <w:t xml:space="preserve">No UAE baseline for beverage-container recycling rates, litter composition or cleanup costs</w:t>
            </w:r>
          </w:p>
        </w:tc>
        <w:tc>
          <w:tcPr>
            <w:tcW w:type="dxa" w:w="2914"/>
            <w:shd w:fill="FFFFFF" w:val="clear"/>
            <w:tcMar>
              <w:top w:type="dxa" w:w="80"/>
              <w:left w:type="dxa" w:w="100"/>
              <w:bottom w:type="dxa" w:w="80"/>
              <w:right w:type="dxa" w:w="100"/>
            </w:tcMar>
          </w:tcPr>
          <w:p>
            <w:pPr>
              <w:spacing w:after="0" w:line="240"/>
            </w:pPr>
            <w:r>
              <w:rPr>
                <w:sz w:val="17"/>
                <w:szCs w:val="17"/>
              </w:rPr>
              <w:t xml:space="preserve">Funded 2027 baseline study (compositional litter survey + container-flow mass-balance)</w:t>
            </w:r>
          </w:p>
        </w:tc>
      </w:tr>
    </w:tbl>
    <w:p>
      <w:pPr>
        <w:spacing w:after="200"/>
      </w:pPr>
      <w:r>
        <w:rPr>
          <w:sz w:val="8"/>
          <w:szCs w:val="8"/>
        </w:rPr>
        <w:t xml:space="preserve"/>
      </w:r>
    </w:p>
    <w:p>
      <w:pPr>
        <w:pStyle w:val="Heading2"/>
        <w:keepNext/>
        <w:spacing w:after="140" w:before="340"/>
      </w:pPr>
      <w:r>
        <w:rPr>
          <w:rFonts w:ascii="Georgia" w:cs="Georgia" w:eastAsia="Georgia" w:hAnsi="Georgia"/>
          <w:b/>
          <w:bCs/>
          <w:color w:val="1B2A4A"/>
          <w:sz w:val="30"/>
          <w:szCs w:val="30"/>
        </w:rPr>
        <w:t xml:space="preserve">11.5 Financial conventions</w:t>
      </w:r>
    </w:p>
    <w:p>
      <w:pPr>
        <w:spacing w:after="160" w:line="300"/>
        <w:jc w:val="both"/>
      </w:pPr>
      <w:r>
        <w:t xml:space="preserve">Currency: AED. FX: </w:t>
      </w:r>
      <w:r>
        <w:rPr>
          <w:b/>
          <w:bCs/>
        </w:rPr>
        <w:t xml:space="preserve">1 USD = 3.6725 AED</w:t>
      </w:r>
      <w:r>
        <w:t xml:space="preserve"> (peg, sourced); </w:t>
      </w:r>
      <w:r>
        <w:rPr>
          <w:b/>
          <w:bCs/>
        </w:rPr>
        <w:t xml:space="preserve">1 EUR = 4.00 AED</w:t>
      </w:r>
      <w:r>
        <w:t xml:space="preserve"> (indicative estimate). Model horizon 2026-2037; base case with live Conservative/Base/Optimistic scenario toggle in the companion financial model. Deposit level (AED 0.25) and producer fees (AED 0.20 / 0.08 / 0.24) are </w:t>
      </w:r>
      <w:r>
        <w:rPr>
          <w:b/>
          <w:bCs/>
        </w:rPr>
        <w:t xml:space="preserve">non-binding recommendations</w:t>
      </w:r>
      <w:r>
        <w:t xml:space="preserve"> for policymaker consideration.</w:t>
      </w:r>
    </w:p>
    <w:p>
      <w:pPr>
        <w:pageBreakBefore/>
        <w:spacing w:after="80" w:before="0"/>
      </w:pPr>
      <w:r>
        <w:rPr>
          <w:rFonts w:ascii="Georgia" w:cs="Georgia" w:eastAsia="Georgia" w:hAnsi="Georgia"/>
          <w:b/>
          <w:bCs/>
          <w:color w:val="C9A227"/>
          <w:spacing w:val="40"/>
          <w:sz w:val="20"/>
          <w:szCs w:val="20"/>
        </w:rPr>
        <w:t xml:space="preserve">ANNEX A</w:t>
      </w:r>
    </w:p>
    <w:p>
      <w:pPr>
        <w:pStyle w:val="Heading1"/>
        <w:pBdr>
          <w:bottom w:val="single" w:color="C9A227" w:sz="10" w:space="4"/>
        </w:pBdr>
        <w:spacing w:after="280"/>
      </w:pPr>
      <w:r>
        <w:rPr>
          <w:rFonts w:ascii="Georgia" w:cs="Georgia" w:eastAsia="Georgia" w:hAnsi="Georgia"/>
          <w:b/>
          <w:bCs/>
          <w:color w:val="1B2A4A"/>
          <w:sz w:val="44"/>
          <w:szCs w:val="44"/>
        </w:rPr>
        <w:t xml:space="preserve">Register of [INFOGRAPHIC] Markers</w:t>
      </w:r>
    </w:p>
    <w:p>
      <w:pPr>
        <w:spacing w:after="160" w:line="300"/>
        <w:jc w:val="both"/>
      </w:pPr>
      <w:r>
        <w:t xml:space="preserve">Every infographic marker in this study, with its location. Markers are production instructions for the design stage; none is a data source in itself.</w:t>
      </w:r>
    </w:p>
    <w:p>
      <w:pPr>
        <w:keepNext/>
        <w:spacing w:after="0"/>
      </w:pPr>
      <w:r>
        <w:rPr>
          <w:sz w:val="4"/>
          <w:szCs w:val="4"/>
        </w:rPr>
        <w:t xml:space="preserve"/>
      </w:r>
    </w:p>
    <w:tbl>
      <w:tblPr>
        <w:tblW w:type="dxa" w:w="8738"/>
        <w:tblBorders>
          <w:top w:val="single" w:color="CFC8B8" w:sz="2"/>
          <w:left w:val="single" w:color="CFC8B8" w:sz="2"/>
          <w:bottom w:val="single" w:color="CFC8B8" w:sz="2"/>
          <w:right w:val="single" w:color="CFC8B8" w:sz="2"/>
          <w:insideH w:val="single" w:color="CFC8B8" w:sz="2"/>
          <w:insideV w:val="single" w:color="CFC8B8" w:sz="2"/>
        </w:tblBorders>
      </w:tblPr>
      <w:tblGrid>
        <w:gridCol w:w="2912"/>
        <w:gridCol w:w="2912"/>
        <w:gridCol w:w="2914"/>
      </w:tblGrid>
      <w:tr>
        <w:trPr>
          <w:tblHeader/>
        </w:trPr>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w:t>
            </w:r>
          </w:p>
        </w:tc>
        <w:tc>
          <w:tcPr>
            <w:tcW w:type="dxa" w:w="2912"/>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Location</w:t>
            </w:r>
          </w:p>
        </w:tc>
        <w:tc>
          <w:tcPr>
            <w:tcW w:type="dxa" w:w="2914"/>
            <w:tcBorders>
              <w:bottom w:val="single" w:color="C9A227" w:sz="10"/>
            </w:tcBorders>
            <w:shd w:fill="1B2A4A" w:val="clear"/>
            <w:tcMar>
              <w:top w:type="dxa" w:w="80"/>
              <w:left w:type="dxa" w:w="100"/>
              <w:bottom w:type="dxa" w:w="80"/>
              <w:right w:type="dxa" w:w="100"/>
            </w:tcMar>
          </w:tcPr>
          <w:p>
            <w:pPr>
              <w:spacing w:after="0" w:line="240"/>
            </w:pPr>
            <w:r>
              <w:rPr>
                <w:b/>
                <w:bCs/>
                <w:color w:val="FFFFFF"/>
                <w:sz w:val="17"/>
                <w:szCs w:val="17"/>
              </w:rPr>
              <w:t xml:space="preserve">Marker</w:t>
            </w:r>
          </w:p>
        </w:tc>
      </w:tr>
      <w:tr>
        <w:tc>
          <w:tcPr>
            <w:tcW w:type="dxa" w:w="2912"/>
            <w:shd w:fill="FFFFFF" w:val="clear"/>
            <w:tcMar>
              <w:top w:type="dxa" w:w="80"/>
              <w:left w:type="dxa" w:w="100"/>
              <w:bottom w:type="dxa" w:w="80"/>
              <w:right w:type="dxa" w:w="100"/>
            </w:tcMar>
          </w:tcPr>
          <w:p>
            <w:pPr>
              <w:spacing w:after="0" w:line="240"/>
            </w:pPr>
            <w:r>
              <w:rPr>
                <w:sz w:val="17"/>
                <w:szCs w:val="17"/>
              </w:rPr>
              <w:t xml:space="preserve">1</w:t>
            </w:r>
          </w:p>
        </w:tc>
        <w:tc>
          <w:tcPr>
            <w:tcW w:type="dxa" w:w="2912"/>
            <w:shd w:fill="FFFFFF" w:val="clear"/>
            <w:tcMar>
              <w:top w:type="dxa" w:w="80"/>
              <w:left w:type="dxa" w:w="100"/>
              <w:bottom w:type="dxa" w:w="80"/>
              <w:right w:type="dxa" w:w="100"/>
            </w:tcMar>
          </w:tcPr>
          <w:p>
            <w:pPr>
              <w:spacing w:after="0" w:line="240"/>
            </w:pPr>
            <w:r>
              <w:rPr>
                <w:sz w:val="17"/>
                <w:szCs w:val="17"/>
              </w:rPr>
              <w:t xml:space="preserve">1.3 Headline economics</w:t>
            </w:r>
          </w:p>
        </w:tc>
        <w:tc>
          <w:tcPr>
            <w:tcW w:type="dxa" w:w="2914"/>
            <w:shd w:fill="FFFFFF" w:val="clear"/>
            <w:tcMar>
              <w:top w:type="dxa" w:w="80"/>
              <w:left w:type="dxa" w:w="100"/>
              <w:bottom w:type="dxa" w:w="80"/>
              <w:right w:type="dxa" w:w="100"/>
            </w:tcMar>
          </w:tcPr>
          <w:p>
            <w:pPr>
              <w:spacing w:after="0" w:line="240"/>
            </w:pPr>
            <w:r>
              <w:rPr>
                <w:sz w:val="17"/>
                <w:szCs w:val="17"/>
              </w:rPr>
              <w:t xml:space="preserve">"The UAE DRS at a glance" - single-page dashboard panel: 3.74bn containers, 3,500 RVMs, 3 sorting centres, AED 664m CAPEX, 90% return rate by 2034,…</w:t>
            </w:r>
          </w:p>
        </w:tc>
      </w:tr>
      <w:tr>
        <w:tc>
          <w:tcPr>
            <w:tcW w:type="dxa" w:w="2912"/>
            <w:shd w:fill="F5F1E8" w:val="clear"/>
            <w:tcMar>
              <w:top w:type="dxa" w:w="80"/>
              <w:left w:type="dxa" w:w="100"/>
              <w:bottom w:type="dxa" w:w="80"/>
              <w:right w:type="dxa" w:w="100"/>
            </w:tcMar>
          </w:tcPr>
          <w:p>
            <w:pPr>
              <w:spacing w:after="0" w:line="240"/>
            </w:pPr>
            <w:r>
              <w:rPr>
                <w:sz w:val="17"/>
                <w:szCs w:val="17"/>
              </w:rPr>
              <w:t xml:space="preserve">2</w:t>
            </w:r>
          </w:p>
        </w:tc>
        <w:tc>
          <w:tcPr>
            <w:tcW w:type="dxa" w:w="2912"/>
            <w:shd w:fill="F5F1E8" w:val="clear"/>
            <w:tcMar>
              <w:top w:type="dxa" w:w="80"/>
              <w:left w:type="dxa" w:w="100"/>
              <w:bottom w:type="dxa" w:w="80"/>
              <w:right w:type="dxa" w:w="100"/>
            </w:tcMar>
          </w:tcPr>
          <w:p>
            <w:pPr>
              <w:spacing w:after="0" w:line="240"/>
            </w:pPr>
            <w:r>
              <w:rPr>
                <w:sz w:val="17"/>
                <w:szCs w:val="17"/>
              </w:rPr>
              <w:t xml:space="preserve">2.4 Guiding principles</w:t>
            </w:r>
          </w:p>
        </w:tc>
        <w:tc>
          <w:tcPr>
            <w:tcW w:type="dxa" w:w="2914"/>
            <w:shd w:fill="F5F1E8" w:val="clear"/>
            <w:tcMar>
              <w:top w:type="dxa" w:w="80"/>
              <w:left w:type="dxa" w:w="100"/>
              <w:bottom w:type="dxa" w:w="80"/>
              <w:right w:type="dxa" w:w="100"/>
            </w:tcMar>
          </w:tcPr>
          <w:p>
            <w:pPr>
              <w:spacing w:after="0" w:line="240"/>
            </w:pPr>
            <w:r>
              <w:rPr>
                <w:sz w:val="17"/>
                <w:szCs w:val="17"/>
              </w:rPr>
              <w:t xml:space="preserve">"Money and material flow" - closed-loop diagram: producer → retailer → consumer → RVM/collection point → counting &amp; sorting centre → recycler; depo…</w:t>
            </w:r>
          </w:p>
        </w:tc>
      </w:tr>
      <w:tr>
        <w:tc>
          <w:tcPr>
            <w:tcW w:type="dxa" w:w="2912"/>
            <w:shd w:fill="FFFFFF" w:val="clear"/>
            <w:tcMar>
              <w:top w:type="dxa" w:w="80"/>
              <w:left w:type="dxa" w:w="100"/>
              <w:bottom w:type="dxa" w:w="80"/>
              <w:right w:type="dxa" w:w="100"/>
            </w:tcMar>
          </w:tcPr>
          <w:p>
            <w:pPr>
              <w:spacing w:after="0" w:line="240"/>
            </w:pPr>
            <w:r>
              <w:rPr>
                <w:sz w:val="17"/>
                <w:szCs w:val="17"/>
              </w:rPr>
              <w:t xml:space="preserve">3</w:t>
            </w:r>
          </w:p>
        </w:tc>
        <w:tc>
          <w:tcPr>
            <w:tcW w:type="dxa" w:w="2912"/>
            <w:shd w:fill="FFFFFF" w:val="clear"/>
            <w:tcMar>
              <w:top w:type="dxa" w:w="80"/>
              <w:left w:type="dxa" w:w="100"/>
              <w:bottom w:type="dxa" w:w="80"/>
              <w:right w:type="dxa" w:w="100"/>
            </w:tcMar>
          </w:tcPr>
          <w:p>
            <w:pPr>
              <w:spacing w:after="0" w:line="240"/>
            </w:pPr>
            <w:r>
              <w:rPr>
                <w:sz w:val="17"/>
                <w:szCs w:val="17"/>
              </w:rPr>
              <w:t xml:space="preserve">3.1 Alignment map</w:t>
            </w:r>
          </w:p>
        </w:tc>
        <w:tc>
          <w:tcPr>
            <w:tcW w:type="dxa" w:w="2914"/>
            <w:shd w:fill="FFFFFF" w:val="clear"/>
            <w:tcMar>
              <w:top w:type="dxa" w:w="80"/>
              <w:left w:type="dxa" w:w="100"/>
              <w:bottom w:type="dxa" w:w="80"/>
              <w:right w:type="dxa" w:w="100"/>
            </w:tcMar>
          </w:tcPr>
          <w:p>
            <w:pPr>
              <w:spacing w:after="0" w:line="240"/>
            </w:pPr>
            <w:r>
              <w:rPr>
                <w:sz w:val="17"/>
                <w:szCs w:val="17"/>
              </w:rPr>
              <w:t xml:space="preserve">"Alignment wheel" - central circle "UAE National DRS" with seven spokes to the instruments above, each tagged with its headline target (Net Zero 20…</w:t>
            </w:r>
          </w:p>
        </w:tc>
      </w:tr>
      <w:tr>
        <w:tc>
          <w:tcPr>
            <w:tcW w:type="dxa" w:w="2912"/>
            <w:shd w:fill="F5F1E8" w:val="clear"/>
            <w:tcMar>
              <w:top w:type="dxa" w:w="80"/>
              <w:left w:type="dxa" w:w="100"/>
              <w:bottom w:type="dxa" w:w="80"/>
              <w:right w:type="dxa" w:w="100"/>
            </w:tcMar>
          </w:tcPr>
          <w:p>
            <w:pPr>
              <w:spacing w:after="0" w:line="240"/>
            </w:pPr>
            <w:r>
              <w:rPr>
                <w:sz w:val="17"/>
                <w:szCs w:val="17"/>
              </w:rPr>
              <w:t xml:space="preserve">4</w:t>
            </w:r>
          </w:p>
        </w:tc>
        <w:tc>
          <w:tcPr>
            <w:tcW w:type="dxa" w:w="2912"/>
            <w:shd w:fill="F5F1E8" w:val="clear"/>
            <w:tcMar>
              <w:top w:type="dxa" w:w="80"/>
              <w:left w:type="dxa" w:w="100"/>
              <w:bottom w:type="dxa" w:w="80"/>
              <w:right w:type="dxa" w:w="100"/>
            </w:tcMar>
          </w:tcPr>
          <w:p>
            <w:pPr>
              <w:spacing w:after="0" w:line="240"/>
            </w:pPr>
            <w:r>
              <w:rPr>
                <w:sz w:val="17"/>
                <w:szCs w:val="17"/>
              </w:rPr>
              <w:t xml:space="preserve">4.1 The Global Landscape in 2026</w:t>
            </w:r>
          </w:p>
        </w:tc>
        <w:tc>
          <w:tcPr>
            <w:tcW w:type="dxa" w:w="2914"/>
            <w:shd w:fill="F5F1E8" w:val="clear"/>
            <w:tcMar>
              <w:top w:type="dxa" w:w="80"/>
              <w:left w:type="dxa" w:w="100"/>
              <w:bottom w:type="dxa" w:w="80"/>
              <w:right w:type="dxa" w:w="100"/>
            </w:tcMar>
          </w:tcPr>
          <w:p>
            <w:pPr>
              <w:spacing w:after="0" w:line="240"/>
            </w:pPr>
            <w:r>
              <w:rPr>
                <w:sz w:val="17"/>
                <w:szCs w:val="17"/>
              </w:rPr>
              <w:t xml:space="preserve">World map of DRS jurisdictions 2026 - operating systems (60, dark), legislated/in-launch by end-2027 (light), with callout stats "396M people cover…</w:t>
            </w:r>
          </w:p>
        </w:tc>
      </w:tr>
      <w:tr>
        <w:tc>
          <w:tcPr>
            <w:tcW w:type="dxa" w:w="2912"/>
            <w:shd w:fill="FFFFFF" w:val="clear"/>
            <w:tcMar>
              <w:top w:type="dxa" w:w="80"/>
              <w:left w:type="dxa" w:w="100"/>
              <w:bottom w:type="dxa" w:w="80"/>
              <w:right w:type="dxa" w:w="100"/>
            </w:tcMar>
          </w:tcPr>
          <w:p>
            <w:pPr>
              <w:spacing w:after="0" w:line="240"/>
            </w:pPr>
            <w:r>
              <w:rPr>
                <w:sz w:val="17"/>
                <w:szCs w:val="17"/>
              </w:rPr>
              <w:t xml:space="preserve">5</w:t>
            </w:r>
          </w:p>
        </w:tc>
        <w:tc>
          <w:tcPr>
            <w:tcW w:type="dxa" w:w="2912"/>
            <w:shd w:fill="FFFFFF" w:val="clear"/>
            <w:tcMar>
              <w:top w:type="dxa" w:w="80"/>
              <w:left w:type="dxa" w:w="100"/>
              <w:bottom w:type="dxa" w:w="80"/>
              <w:right w:type="dxa" w:w="100"/>
            </w:tcMar>
          </w:tcPr>
          <w:p>
            <w:pPr>
              <w:spacing w:after="0" w:line="240"/>
            </w:pPr>
            <w:r>
              <w:rPr>
                <w:sz w:val="17"/>
                <w:szCs w:val="17"/>
              </w:rPr>
              <w:t xml:space="preserve">4.2 Deep Dive: Lithuania (USAD) - the Closest Design Template</w:t>
            </w:r>
          </w:p>
        </w:tc>
        <w:tc>
          <w:tcPr>
            <w:tcW w:type="dxa" w:w="2914"/>
            <w:shd w:fill="FFFFFF" w:val="clear"/>
            <w:tcMar>
              <w:top w:type="dxa" w:w="80"/>
              <w:left w:type="dxa" w:w="100"/>
              <w:bottom w:type="dxa" w:w="80"/>
              <w:right w:type="dxa" w:w="100"/>
            </w:tcMar>
          </w:tcPr>
          <w:p>
            <w:pPr>
              <w:spacing w:after="0" w:line="240"/>
            </w:pPr>
            <w:r>
              <w:rPr>
                <w:sz w:val="17"/>
                <w:szCs w:val="17"/>
              </w:rPr>
              <w:t xml:space="preserve">Lithuania timeline + results panel - 2014 law → 2016 launch → return-rate curve &lt;33% (2015) → 74% (2016) → 92.3% (2023); side panel with 53/30/17 f…</w:t>
            </w:r>
          </w:p>
        </w:tc>
      </w:tr>
      <w:tr>
        <w:tc>
          <w:tcPr>
            <w:tcW w:type="dxa" w:w="2912"/>
            <w:shd w:fill="F5F1E8" w:val="clear"/>
            <w:tcMar>
              <w:top w:type="dxa" w:w="80"/>
              <w:left w:type="dxa" w:w="100"/>
              <w:bottom w:type="dxa" w:w="80"/>
              <w:right w:type="dxa" w:w="100"/>
            </w:tcMar>
          </w:tcPr>
          <w:p>
            <w:pPr>
              <w:spacing w:after="0" w:line="240"/>
            </w:pPr>
            <w:r>
              <w:rPr>
                <w:sz w:val="17"/>
                <w:szCs w:val="17"/>
              </w:rPr>
              <w:t xml:space="preserve">6</w:t>
            </w:r>
          </w:p>
        </w:tc>
        <w:tc>
          <w:tcPr>
            <w:tcW w:type="dxa" w:w="2912"/>
            <w:shd w:fill="F5F1E8" w:val="clear"/>
            <w:tcMar>
              <w:top w:type="dxa" w:w="80"/>
              <w:left w:type="dxa" w:w="100"/>
              <w:bottom w:type="dxa" w:w="80"/>
              <w:right w:type="dxa" w:w="100"/>
            </w:tcMar>
          </w:tcPr>
          <w:p>
            <w:pPr>
              <w:spacing w:after="0" w:line="240"/>
            </w:pPr>
            <w:r>
              <w:rPr>
                <w:sz w:val="17"/>
                <w:szCs w:val="17"/>
              </w:rPr>
              <w:t xml:space="preserve">4.3 The Newest Wave: Proof That 80-90% Is Achievable Within 24 Months</w:t>
            </w:r>
          </w:p>
        </w:tc>
        <w:tc>
          <w:tcPr>
            <w:tcW w:type="dxa" w:w="2914"/>
            <w:shd w:fill="F5F1E8" w:val="clear"/>
            <w:tcMar>
              <w:top w:type="dxa" w:w="80"/>
              <w:left w:type="dxa" w:w="100"/>
              <w:bottom w:type="dxa" w:w="80"/>
              <w:right w:type="dxa" w:w="100"/>
            </w:tcMar>
          </w:tcPr>
          <w:p>
            <w:pPr>
              <w:spacing w:after="0" w:line="240"/>
            </w:pPr>
            <w:r>
              <w:rPr>
                <w:sz w:val="17"/>
                <w:szCs w:val="17"/>
              </w:rPr>
              <w:t xml:space="preserve">"Race to 90%" line chart - return-rate trajectories by months since launch for Romania, Hungary, Ireland, Austria, Malta, Slovakia, with the UAE mo…</w:t>
            </w:r>
          </w:p>
        </w:tc>
      </w:tr>
      <w:tr>
        <w:tc>
          <w:tcPr>
            <w:tcW w:type="dxa" w:w="2912"/>
            <w:shd w:fill="FFFFFF" w:val="clear"/>
            <w:tcMar>
              <w:top w:type="dxa" w:w="80"/>
              <w:left w:type="dxa" w:w="100"/>
              <w:bottom w:type="dxa" w:w="80"/>
              <w:right w:type="dxa" w:w="100"/>
            </w:tcMar>
          </w:tcPr>
          <w:p>
            <w:pPr>
              <w:spacing w:after="0" w:line="240"/>
            </w:pPr>
            <w:r>
              <w:rPr>
                <w:sz w:val="17"/>
                <w:szCs w:val="17"/>
              </w:rPr>
              <w:t xml:space="preserve">7</w:t>
            </w:r>
          </w:p>
        </w:tc>
        <w:tc>
          <w:tcPr>
            <w:tcW w:type="dxa" w:w="2912"/>
            <w:shd w:fill="FFFFFF" w:val="clear"/>
            <w:tcMar>
              <w:top w:type="dxa" w:w="80"/>
              <w:left w:type="dxa" w:w="100"/>
              <w:bottom w:type="dxa" w:w="80"/>
              <w:right w:type="dxa" w:w="100"/>
            </w:tcMar>
          </w:tcPr>
          <w:p>
            <w:pPr>
              <w:spacing w:after="0" w:line="240"/>
            </w:pPr>
            <w:r>
              <w:rPr>
                <w:sz w:val="17"/>
                <w:szCs w:val="17"/>
              </w:rPr>
              <w:t xml:space="preserve">4.7 Ten Design Patterns for the UAE</w:t>
            </w:r>
          </w:p>
        </w:tc>
        <w:tc>
          <w:tcPr>
            <w:tcW w:type="dxa" w:w="2914"/>
            <w:shd w:fill="FFFFFF" w:val="clear"/>
            <w:tcMar>
              <w:top w:type="dxa" w:w="80"/>
              <w:left w:type="dxa" w:w="100"/>
              <w:bottom w:type="dxa" w:w="80"/>
              <w:right w:type="dxa" w:w="100"/>
            </w:tcMar>
          </w:tcPr>
          <w:p>
            <w:pPr>
              <w:spacing w:after="0" w:line="240"/>
            </w:pPr>
            <w:r>
              <w:rPr>
                <w:sz w:val="17"/>
                <w:szCs w:val="17"/>
              </w:rPr>
              <w:t xml:space="preserve">"10 design patterns" wheel or staircase diagram - each pattern as one segment with its benchmark flag icon (LT, RO, HU, IE, NO, FI, DE, TR, Scotlan…</w:t>
            </w:r>
          </w:p>
        </w:tc>
      </w:tr>
      <w:tr>
        <w:tc>
          <w:tcPr>
            <w:tcW w:type="dxa" w:w="2912"/>
            <w:shd w:fill="F5F1E8" w:val="clear"/>
            <w:tcMar>
              <w:top w:type="dxa" w:w="80"/>
              <w:left w:type="dxa" w:w="100"/>
              <w:bottom w:type="dxa" w:w="80"/>
              <w:right w:type="dxa" w:w="100"/>
            </w:tcMar>
          </w:tcPr>
          <w:p>
            <w:pPr>
              <w:spacing w:after="0" w:line="240"/>
            </w:pPr>
            <w:r>
              <w:rPr>
                <w:sz w:val="17"/>
                <w:szCs w:val="17"/>
              </w:rPr>
              <w:t xml:space="preserve">8</w:t>
            </w:r>
          </w:p>
        </w:tc>
        <w:tc>
          <w:tcPr>
            <w:tcW w:type="dxa" w:w="2912"/>
            <w:shd w:fill="F5F1E8" w:val="clear"/>
            <w:tcMar>
              <w:top w:type="dxa" w:w="80"/>
              <w:left w:type="dxa" w:w="100"/>
              <w:bottom w:type="dxa" w:w="80"/>
              <w:right w:type="dxa" w:w="100"/>
            </w:tcMar>
          </w:tcPr>
          <w:p>
            <w:pPr>
              <w:spacing w:after="0" w:line="240"/>
            </w:pPr>
            <w:r>
              <w:rPr>
                <w:sz w:val="17"/>
                <w:szCs w:val="17"/>
              </w:rPr>
              <w:t xml:space="preserve">5.0 Chapter Summary</w:t>
            </w:r>
          </w:p>
        </w:tc>
        <w:tc>
          <w:tcPr>
            <w:tcW w:type="dxa" w:w="2914"/>
            <w:shd w:fill="F5F1E8" w:val="clear"/>
            <w:tcMar>
              <w:top w:type="dxa" w:w="80"/>
              <w:left w:type="dxa" w:w="100"/>
              <w:bottom w:type="dxa" w:w="80"/>
              <w:right w:type="dxa" w:w="100"/>
            </w:tcMar>
          </w:tcPr>
          <w:p>
            <w:pPr>
              <w:spacing w:after="0" w:line="240"/>
            </w:pPr>
            <w:r>
              <w:rPr>
                <w:sz w:val="17"/>
                <w:szCs w:val="17"/>
              </w:rPr>
              <w:t xml:space="preserve">"UAE at a glance" dashboard strip - population 11.29M, bottled water 250-300L per capita, ~450 PET bottles/person/yr, 660M cans/yr with only ~1/3 r…</w:t>
            </w:r>
          </w:p>
        </w:tc>
      </w:tr>
      <w:tr>
        <w:tc>
          <w:tcPr>
            <w:tcW w:type="dxa" w:w="2912"/>
            <w:shd w:fill="FFFFFF" w:val="clear"/>
            <w:tcMar>
              <w:top w:type="dxa" w:w="80"/>
              <w:left w:type="dxa" w:w="100"/>
              <w:bottom w:type="dxa" w:w="80"/>
              <w:right w:type="dxa" w:w="100"/>
            </w:tcMar>
          </w:tcPr>
          <w:p>
            <w:pPr>
              <w:spacing w:after="0" w:line="240"/>
            </w:pPr>
            <w:r>
              <w:rPr>
                <w:sz w:val="17"/>
                <w:szCs w:val="17"/>
              </w:rPr>
              <w:t xml:space="preserve">9</w:t>
            </w:r>
          </w:p>
        </w:tc>
        <w:tc>
          <w:tcPr>
            <w:tcW w:type="dxa" w:w="2912"/>
            <w:shd w:fill="FFFFFF" w:val="clear"/>
            <w:tcMar>
              <w:top w:type="dxa" w:w="80"/>
              <w:left w:type="dxa" w:w="100"/>
              <w:bottom w:type="dxa" w:w="80"/>
              <w:right w:type="dxa" w:w="100"/>
            </w:tcMar>
          </w:tcPr>
          <w:p>
            <w:pPr>
              <w:spacing w:after="0" w:line="240"/>
            </w:pPr>
            <w:r>
              <w:rPr>
                <w:sz w:val="17"/>
                <w:szCs w:val="17"/>
              </w:rPr>
              <w:t xml:space="preserve">5.1.3 Policy tailwinds already in force</w:t>
            </w:r>
          </w:p>
        </w:tc>
        <w:tc>
          <w:tcPr>
            <w:tcW w:type="dxa" w:w="2914"/>
            <w:shd w:fill="FFFFFF" w:val="clear"/>
            <w:tcMar>
              <w:top w:type="dxa" w:w="80"/>
              <w:left w:type="dxa" w:w="100"/>
              <w:bottom w:type="dxa" w:w="80"/>
              <w:right w:type="dxa" w:w="100"/>
            </w:tcMar>
          </w:tcPr>
          <w:p>
            <w:pPr>
              <w:spacing w:after="0" w:line="240"/>
            </w:pPr>
            <w:r>
              <w:rPr>
                <w:sz w:val="17"/>
                <w:szCs w:val="17"/>
              </w:rPr>
              <w:t xml:space="preserve">Policy timeline 2022-2031 - SUP ban phases, EPR pilot, sugar excise, rPET decree, 2031 diversion targets - horizontal timeline with milestones</w:t>
            </w:r>
          </w:p>
        </w:tc>
      </w:tr>
      <w:tr>
        <w:tc>
          <w:tcPr>
            <w:tcW w:type="dxa" w:w="2912"/>
            <w:shd w:fill="F5F1E8" w:val="clear"/>
            <w:tcMar>
              <w:top w:type="dxa" w:w="80"/>
              <w:left w:type="dxa" w:w="100"/>
              <w:bottom w:type="dxa" w:w="80"/>
              <w:right w:type="dxa" w:w="100"/>
            </w:tcMar>
          </w:tcPr>
          <w:p>
            <w:pPr>
              <w:spacing w:after="0" w:line="240"/>
            </w:pPr>
            <w:r>
              <w:rPr>
                <w:sz w:val="17"/>
                <w:szCs w:val="17"/>
              </w:rPr>
              <w:t xml:space="preserve">10</w:t>
            </w:r>
          </w:p>
        </w:tc>
        <w:tc>
          <w:tcPr>
            <w:tcW w:type="dxa" w:w="2912"/>
            <w:shd w:fill="F5F1E8" w:val="clear"/>
            <w:tcMar>
              <w:top w:type="dxa" w:w="80"/>
              <w:left w:type="dxa" w:w="100"/>
              <w:bottom w:type="dxa" w:w="80"/>
              <w:right w:type="dxa" w:w="100"/>
            </w:tcMar>
          </w:tcPr>
          <w:p>
            <w:pPr>
              <w:spacing w:after="0" w:line="240"/>
            </w:pPr>
            <w:r>
              <w:rPr>
                <w:sz w:val="17"/>
                <w:szCs w:val="17"/>
              </w:rPr>
              <w:t xml:space="preserve">5.2.3 Glass: a quantified gap, not an omission</w:t>
            </w:r>
          </w:p>
        </w:tc>
        <w:tc>
          <w:tcPr>
            <w:tcW w:type="dxa" w:w="2914"/>
            <w:shd w:fill="F5F1E8" w:val="clear"/>
            <w:tcMar>
              <w:top w:type="dxa" w:w="80"/>
              <w:left w:type="dxa" w:w="100"/>
              <w:bottom w:type="dxa" w:w="80"/>
              <w:right w:type="dxa" w:w="100"/>
            </w:tcMar>
          </w:tcPr>
          <w:p>
            <w:pPr>
              <w:spacing w:after="0" w:line="240"/>
            </w:pPr>
            <w:r>
              <w:rPr>
                <w:sz w:val="17"/>
                <w:szCs w:val="17"/>
              </w:rPr>
              <w:t xml:space="preserve">Stacked bar - containers placed on market by material (PET range bar with low/high markers, cans point estimate, glass estimate hatched as "estimat…</w:t>
            </w:r>
          </w:p>
        </w:tc>
      </w:tr>
      <w:tr>
        <w:tc>
          <w:tcPr>
            <w:tcW w:type="dxa" w:w="2912"/>
            <w:shd w:fill="FFFFFF" w:val="clear"/>
            <w:tcMar>
              <w:top w:type="dxa" w:w="80"/>
              <w:left w:type="dxa" w:w="100"/>
              <w:bottom w:type="dxa" w:w="80"/>
              <w:right w:type="dxa" w:w="100"/>
            </w:tcMar>
          </w:tcPr>
          <w:p>
            <w:pPr>
              <w:spacing w:after="0" w:line="240"/>
            </w:pPr>
            <w:r>
              <w:rPr>
                <w:sz w:val="17"/>
                <w:szCs w:val="17"/>
              </w:rPr>
              <w:t xml:space="preserve">11</w:t>
            </w:r>
          </w:p>
        </w:tc>
        <w:tc>
          <w:tcPr>
            <w:tcW w:type="dxa" w:w="2912"/>
            <w:shd w:fill="FFFFFF" w:val="clear"/>
            <w:tcMar>
              <w:top w:type="dxa" w:w="80"/>
              <w:left w:type="dxa" w:w="100"/>
              <w:bottom w:type="dxa" w:w="80"/>
              <w:right w:type="dxa" w:w="100"/>
            </w:tcMar>
          </w:tcPr>
          <w:p>
            <w:pPr>
              <w:spacing w:after="0" w:line="240"/>
            </w:pPr>
            <w:r>
              <w:rPr>
                <w:sz w:val="17"/>
                <w:szCs w:val="17"/>
              </w:rPr>
              <w:t xml:space="preserve">5.4 Retail Landscape &amp; Return-Channel Readiness</w:t>
            </w:r>
          </w:p>
        </w:tc>
        <w:tc>
          <w:tcPr>
            <w:tcW w:type="dxa" w:w="2914"/>
            <w:shd w:fill="FFFFFF" w:val="clear"/>
            <w:tcMar>
              <w:top w:type="dxa" w:w="80"/>
              <w:left w:type="dxa" w:w="100"/>
              <w:bottom w:type="dxa" w:w="80"/>
              <w:right w:type="dxa" w:w="100"/>
            </w:tcMar>
          </w:tcPr>
          <w:p>
            <w:pPr>
              <w:spacing w:after="0" w:line="240"/>
            </w:pPr>
            <w:r>
              <w:rPr>
                <w:sz w:val="17"/>
                <w:szCs w:val="17"/>
              </w:rPr>
              <w:t xml:space="preserve">Map of UAE with return-network layers - modern trade anchor stores, fuel stations, malls/transit, traditional trade - plus a density gauge showing …</w:t>
            </w:r>
          </w:p>
        </w:tc>
      </w:tr>
      <w:tr>
        <w:tc>
          <w:tcPr>
            <w:tcW w:type="dxa" w:w="2912"/>
            <w:shd w:fill="F5F1E8" w:val="clear"/>
            <w:tcMar>
              <w:top w:type="dxa" w:w="80"/>
              <w:left w:type="dxa" w:w="100"/>
              <w:bottom w:type="dxa" w:w="80"/>
              <w:right w:type="dxa" w:w="100"/>
            </w:tcMar>
          </w:tcPr>
          <w:p>
            <w:pPr>
              <w:spacing w:after="0" w:line="240"/>
            </w:pPr>
            <w:r>
              <w:rPr>
                <w:sz w:val="17"/>
                <w:szCs w:val="17"/>
              </w:rPr>
              <w:t xml:space="preserve">12</w:t>
            </w:r>
          </w:p>
        </w:tc>
        <w:tc>
          <w:tcPr>
            <w:tcW w:type="dxa" w:w="2912"/>
            <w:shd w:fill="F5F1E8" w:val="clear"/>
            <w:tcMar>
              <w:top w:type="dxa" w:w="80"/>
              <w:left w:type="dxa" w:w="100"/>
              <w:bottom w:type="dxa" w:w="80"/>
              <w:right w:type="dxa" w:w="100"/>
            </w:tcMar>
          </w:tcPr>
          <w:p>
            <w:pPr>
              <w:spacing w:after="0" w:line="240"/>
            </w:pPr>
            <w:r>
              <w:rPr>
                <w:sz w:val="17"/>
                <w:szCs w:val="17"/>
              </w:rPr>
              <w:t xml:space="preserve">5.5 Existing Recycling Infrastructure</w:t>
            </w:r>
          </w:p>
        </w:tc>
        <w:tc>
          <w:tcPr>
            <w:tcW w:type="dxa" w:w="2914"/>
            <w:shd w:fill="F5F1E8" w:val="clear"/>
            <w:tcMar>
              <w:top w:type="dxa" w:w="80"/>
              <w:left w:type="dxa" w:w="100"/>
              <w:bottom w:type="dxa" w:w="80"/>
              <w:right w:type="dxa" w:w="100"/>
            </w:tcMar>
          </w:tcPr>
          <w:p>
            <w:pPr>
              <w:spacing w:after="0" w:line="240"/>
            </w:pPr>
            <w:r>
              <w:rPr>
                <w:sz w:val="17"/>
                <w:szCs w:val="17"/>
              </w:rPr>
              <w:t xml:space="preserve">"Infrastructure vs feedstock" two-column diagram - left: processing capacity bars (Farz, BEEAH, Tadweer, DGrade, Repeet, Al Taweelah); right: avail…</w:t>
            </w:r>
          </w:p>
        </w:tc>
      </w:tr>
      <w:tr>
        <w:tc>
          <w:tcPr>
            <w:tcW w:type="dxa" w:w="2912"/>
            <w:shd w:fill="FFFFFF" w:val="clear"/>
            <w:tcMar>
              <w:top w:type="dxa" w:w="80"/>
              <w:left w:type="dxa" w:w="100"/>
              <w:bottom w:type="dxa" w:w="80"/>
              <w:right w:type="dxa" w:w="100"/>
            </w:tcMar>
          </w:tcPr>
          <w:p>
            <w:pPr>
              <w:spacing w:after="0" w:line="240"/>
            </w:pPr>
            <w:r>
              <w:rPr>
                <w:sz w:val="17"/>
                <w:szCs w:val="17"/>
              </w:rPr>
              <w:t xml:space="preserve">13</w:t>
            </w:r>
          </w:p>
        </w:tc>
        <w:tc>
          <w:tcPr>
            <w:tcW w:type="dxa" w:w="2912"/>
            <w:shd w:fill="FFFFFF" w:val="clear"/>
            <w:tcMar>
              <w:top w:type="dxa" w:w="80"/>
              <w:left w:type="dxa" w:w="100"/>
              <w:bottom w:type="dxa" w:w="80"/>
              <w:right w:type="dxa" w:w="100"/>
            </w:tcMar>
          </w:tcPr>
          <w:p>
            <w:pPr>
              <w:spacing w:after="0" w:line="240"/>
            </w:pPr>
            <w:r>
              <w:rPr>
                <w:sz w:val="17"/>
                <w:szCs w:val="17"/>
              </w:rPr>
              <w:t xml:space="preserve">5.7 Waste-Flow Economics</w:t>
            </w:r>
          </w:p>
        </w:tc>
        <w:tc>
          <w:tcPr>
            <w:tcW w:type="dxa" w:w="2914"/>
            <w:shd w:fill="FFFFFF" w:val="clear"/>
            <w:tcMar>
              <w:top w:type="dxa" w:w="80"/>
              <w:left w:type="dxa" w:w="100"/>
              <w:bottom w:type="dxa" w:w="80"/>
              <w:right w:type="dxa" w:w="100"/>
            </w:tcMar>
          </w:tcPr>
          <w:p>
            <w:pPr>
              <w:spacing w:after="0" w:line="240"/>
            </w:pPr>
            <w:r>
              <w:rPr>
                <w:sz w:val="17"/>
                <w:szCs w:val="17"/>
              </w:rPr>
              <w:t xml:space="preserve">"Cost of inaction" panel - landfill fee trend AED 10/t → AED 100/t, 440M cans/yr to landfill, 79% mismanaged plastic index, 33 kg/capita plastic wa…</w:t>
            </w:r>
          </w:p>
        </w:tc>
      </w:tr>
      <w:tr>
        <w:tc>
          <w:tcPr>
            <w:tcW w:type="dxa" w:w="2912"/>
            <w:shd w:fill="F5F1E8" w:val="clear"/>
            <w:tcMar>
              <w:top w:type="dxa" w:w="80"/>
              <w:left w:type="dxa" w:w="100"/>
              <w:bottom w:type="dxa" w:w="80"/>
              <w:right w:type="dxa" w:w="100"/>
            </w:tcMar>
          </w:tcPr>
          <w:p>
            <w:pPr>
              <w:spacing w:after="0" w:line="240"/>
            </w:pPr>
            <w:r>
              <w:rPr>
                <w:sz w:val="17"/>
                <w:szCs w:val="17"/>
              </w:rPr>
              <w:t xml:space="preserve">14</w:t>
            </w:r>
          </w:p>
        </w:tc>
        <w:tc>
          <w:tcPr>
            <w:tcW w:type="dxa" w:w="2912"/>
            <w:shd w:fill="F5F1E8" w:val="clear"/>
            <w:tcMar>
              <w:top w:type="dxa" w:w="80"/>
              <w:left w:type="dxa" w:w="100"/>
              <w:bottom w:type="dxa" w:w="80"/>
              <w:right w:type="dxa" w:w="100"/>
            </w:tcMar>
          </w:tcPr>
          <w:p>
            <w:pPr>
              <w:spacing w:after="0" w:line="240"/>
            </w:pPr>
            <w:r>
              <w:rPr>
                <w:sz w:val="17"/>
                <w:szCs w:val="17"/>
              </w:rPr>
              <w:t xml:space="preserve">6.2.3 Why this structure protects the unredeemed-deposits commitment</w:t>
            </w:r>
          </w:p>
        </w:tc>
        <w:tc>
          <w:tcPr>
            <w:tcW w:type="dxa" w:w="2914"/>
            <w:shd w:fill="F5F1E8" w:val="clear"/>
            <w:tcMar>
              <w:top w:type="dxa" w:w="80"/>
              <w:left w:type="dxa" w:w="100"/>
              <w:bottom w:type="dxa" w:w="80"/>
              <w:right w:type="dxa" w:w="100"/>
            </w:tcMar>
          </w:tcPr>
          <w:p>
            <w:pPr>
              <w:spacing w:after="0" w:line="240"/>
            </w:pPr>
            <w:r>
              <w:rPr>
                <w:sz w:val="17"/>
                <w:szCs w:val="17"/>
              </w:rPr>
              <w:t xml:space="preserve">Organisational chart - supervising ministries (top, oversight dashed line) → single not-for-profit DSO board (producers / importers / retailers / g…</w:t>
            </w:r>
          </w:p>
        </w:tc>
      </w:tr>
      <w:tr>
        <w:tc>
          <w:tcPr>
            <w:tcW w:type="dxa" w:w="2912"/>
            <w:shd w:fill="FFFFFF" w:val="clear"/>
            <w:tcMar>
              <w:top w:type="dxa" w:w="80"/>
              <w:left w:type="dxa" w:w="100"/>
              <w:bottom w:type="dxa" w:w="80"/>
              <w:right w:type="dxa" w:w="100"/>
            </w:tcMar>
          </w:tcPr>
          <w:p>
            <w:pPr>
              <w:spacing w:after="0" w:line="240"/>
            </w:pPr>
            <w:r>
              <w:rPr>
                <w:sz w:val="17"/>
                <w:szCs w:val="17"/>
              </w:rPr>
              <w:t xml:space="preserve">15</w:t>
            </w:r>
          </w:p>
        </w:tc>
        <w:tc>
          <w:tcPr>
            <w:tcW w:type="dxa" w:w="2912"/>
            <w:shd w:fill="FFFFFF" w:val="clear"/>
            <w:tcMar>
              <w:top w:type="dxa" w:w="80"/>
              <w:left w:type="dxa" w:w="100"/>
              <w:bottom w:type="dxa" w:w="80"/>
              <w:right w:type="dxa" w:w="100"/>
            </w:tcMar>
          </w:tcPr>
          <w:p>
            <w:pPr>
              <w:spacing w:after="0" w:line="240"/>
            </w:pPr>
            <w:r>
              <w:rPr>
                <w:sz w:val="17"/>
                <w:szCs w:val="17"/>
              </w:rPr>
              <w:t xml:space="preserve">6.3.2 Placement strategy</w:t>
            </w:r>
          </w:p>
        </w:tc>
        <w:tc>
          <w:tcPr>
            <w:tcW w:type="dxa" w:w="2914"/>
            <w:shd w:fill="FFFFFF" w:val="clear"/>
            <w:tcMar>
              <w:top w:type="dxa" w:w="80"/>
              <w:left w:type="dxa" w:w="100"/>
              <w:bottom w:type="dxa" w:w="80"/>
              <w:right w:type="dxa" w:w="100"/>
            </w:tcMar>
          </w:tcPr>
          <w:p>
            <w:pPr>
              <w:spacing w:after="0" w:line="240"/>
            </w:pPr>
            <w:r>
              <w:rPr>
                <w:sz w:val="17"/>
                <w:szCs w:val="17"/>
              </w:rPr>
              <w:t xml:space="preserve">Network density map of the UAE - emirate-level return-point allocation against population (Dubai, Abu Dhabi, Sharjah/Northern Emirates), with icons…</w:t>
            </w:r>
          </w:p>
        </w:tc>
      </w:tr>
      <w:tr>
        <w:tc>
          <w:tcPr>
            <w:tcW w:type="dxa" w:w="2912"/>
            <w:shd w:fill="F5F1E8" w:val="clear"/>
            <w:tcMar>
              <w:top w:type="dxa" w:w="80"/>
              <w:left w:type="dxa" w:w="100"/>
              <w:bottom w:type="dxa" w:w="80"/>
              <w:right w:type="dxa" w:w="100"/>
            </w:tcMar>
          </w:tcPr>
          <w:p>
            <w:pPr>
              <w:spacing w:after="0" w:line="240"/>
            </w:pPr>
            <w:r>
              <w:rPr>
                <w:sz w:val="17"/>
                <w:szCs w:val="17"/>
              </w:rPr>
              <w:t xml:space="preserve">16</w:t>
            </w:r>
          </w:p>
        </w:tc>
        <w:tc>
          <w:tcPr>
            <w:tcW w:type="dxa" w:w="2912"/>
            <w:shd w:fill="F5F1E8" w:val="clear"/>
            <w:tcMar>
              <w:top w:type="dxa" w:w="80"/>
              <w:left w:type="dxa" w:w="100"/>
              <w:bottom w:type="dxa" w:w="80"/>
              <w:right w:type="dxa" w:w="100"/>
            </w:tcMar>
          </w:tcPr>
          <w:p>
            <w:pPr>
              <w:spacing w:after="0" w:line="240"/>
            </w:pPr>
            <w:r>
              <w:rPr>
                <w:sz w:val="17"/>
                <w:szCs w:val="17"/>
              </w:rPr>
              <w:t xml:space="preserve">6.4.3 EAN-level traceability</w:t>
            </w:r>
          </w:p>
        </w:tc>
        <w:tc>
          <w:tcPr>
            <w:tcW w:type="dxa" w:w="2914"/>
            <w:shd w:fill="F5F1E8" w:val="clear"/>
            <w:tcMar>
              <w:top w:type="dxa" w:w="80"/>
              <w:left w:type="dxa" w:w="100"/>
              <w:bottom w:type="dxa" w:w="80"/>
              <w:right w:type="dxa" w:w="100"/>
            </w:tcMar>
          </w:tcPr>
          <w:p>
            <w:pPr>
              <w:spacing w:after="0" w:line="240"/>
            </w:pPr>
            <w:r>
              <w:rPr>
                <w:sz w:val="17"/>
                <w:szCs w:val="17"/>
              </w:rPr>
              <w:t xml:space="preserve">Material-flow diagram - Consumer purchase (deposit paid at till) → return at RVM/manual point (barcode scan, compaction, instant refund) → backhaul…</w:t>
            </w:r>
          </w:p>
        </w:tc>
      </w:tr>
      <w:tr>
        <w:tc>
          <w:tcPr>
            <w:tcW w:type="dxa" w:w="2912"/>
            <w:shd w:fill="FFFFFF" w:val="clear"/>
            <w:tcMar>
              <w:top w:type="dxa" w:w="80"/>
              <w:left w:type="dxa" w:w="100"/>
              <w:bottom w:type="dxa" w:w="80"/>
              <w:right w:type="dxa" w:w="100"/>
            </w:tcMar>
          </w:tcPr>
          <w:p>
            <w:pPr>
              <w:spacing w:after="0" w:line="240"/>
            </w:pPr>
            <w:r>
              <w:rPr>
                <w:sz w:val="17"/>
                <w:szCs w:val="17"/>
              </w:rPr>
              <w:t xml:space="preserve">17</w:t>
            </w:r>
          </w:p>
        </w:tc>
        <w:tc>
          <w:tcPr>
            <w:tcW w:type="dxa" w:w="2912"/>
            <w:shd w:fill="FFFFFF" w:val="clear"/>
            <w:tcMar>
              <w:top w:type="dxa" w:w="80"/>
              <w:left w:type="dxa" w:w="100"/>
              <w:bottom w:type="dxa" w:w="80"/>
              <w:right w:type="dxa" w:w="100"/>
            </w:tcMar>
          </w:tcPr>
          <w:p>
            <w:pPr>
              <w:spacing w:after="0" w:line="240"/>
            </w:pPr>
            <w:r>
              <w:rPr>
                <w:sz w:val="17"/>
                <w:szCs w:val="17"/>
              </w:rPr>
              <w:t xml:space="preserve">6.6 The central IT platform: the system's single source of truth</w:t>
            </w:r>
          </w:p>
        </w:tc>
        <w:tc>
          <w:tcPr>
            <w:tcW w:type="dxa" w:w="2914"/>
            <w:shd w:fill="FFFFFF" w:val="clear"/>
            <w:tcMar>
              <w:top w:type="dxa" w:w="80"/>
              <w:left w:type="dxa" w:w="100"/>
              <w:bottom w:type="dxa" w:w="80"/>
              <w:right w:type="dxa" w:w="100"/>
            </w:tcMar>
          </w:tcPr>
          <w:p>
            <w:pPr>
              <w:spacing w:after="0" w:line="240"/>
            </w:pPr>
            <w:r>
              <w:rPr>
                <w:sz w:val="17"/>
                <w:szCs w:val="17"/>
              </w:rPr>
              <w:t xml:space="preserve">Money-flow diagram - Producers/importers pay producer fees (AED 0.20 PET / 0.08 aluminium / 0.24 glass per unit POM) + deposit funding (AED 0.25/un…</w:t>
            </w:r>
          </w:p>
        </w:tc>
      </w:tr>
      <w:tr>
        <w:tc>
          <w:tcPr>
            <w:tcW w:type="dxa" w:w="2912"/>
            <w:shd w:fill="F5F1E8" w:val="clear"/>
            <w:tcMar>
              <w:top w:type="dxa" w:w="80"/>
              <w:left w:type="dxa" w:w="100"/>
              <w:bottom w:type="dxa" w:w="80"/>
              <w:right w:type="dxa" w:w="100"/>
            </w:tcMar>
          </w:tcPr>
          <w:p>
            <w:pPr>
              <w:spacing w:after="0" w:line="240"/>
            </w:pPr>
            <w:r>
              <w:rPr>
                <w:sz w:val="17"/>
                <w:szCs w:val="17"/>
              </w:rPr>
              <w:t xml:space="preserve">18</w:t>
            </w:r>
          </w:p>
        </w:tc>
        <w:tc>
          <w:tcPr>
            <w:tcW w:type="dxa" w:w="2912"/>
            <w:shd w:fill="F5F1E8" w:val="clear"/>
            <w:tcMar>
              <w:top w:type="dxa" w:w="80"/>
              <w:left w:type="dxa" w:w="100"/>
              <w:bottom w:type="dxa" w:w="80"/>
              <w:right w:type="dxa" w:w="100"/>
            </w:tcMar>
          </w:tcPr>
          <w:p>
            <w:pPr>
              <w:spacing w:after="0" w:line="240"/>
            </w:pPr>
            <w:r>
              <w:rPr>
                <w:sz w:val="17"/>
                <w:szCs w:val="17"/>
              </w:rPr>
              <w:t xml:space="preserve">8.2 Phase plan</w:t>
            </w:r>
          </w:p>
        </w:tc>
        <w:tc>
          <w:tcPr>
            <w:tcW w:type="dxa" w:w="2914"/>
            <w:shd w:fill="F5F1E8" w:val="clear"/>
            <w:tcMar>
              <w:top w:type="dxa" w:w="80"/>
              <w:left w:type="dxa" w:w="100"/>
              <w:bottom w:type="dxa" w:w="80"/>
              <w:right w:type="dxa" w:w="100"/>
            </w:tcMar>
          </w:tcPr>
          <w:p>
            <w:pPr>
              <w:spacing w:after="0" w:line="240"/>
            </w:pPr>
            <w:r>
              <w:rPr>
                <w:sz w:val="17"/>
                <w:szCs w:val="17"/>
              </w:rPr>
              <w:t xml:space="preserve">Horizontal timeline/Gantt for 2026-2030 showing the six phases below as bars, with milestone diamonds (Cabinet Resolution, DSO licence, first RVM l…</w:t>
            </w:r>
          </w:p>
        </w:tc>
      </w:tr>
      <w:tr>
        <w:tc>
          <w:tcPr>
            <w:tcW w:type="dxa" w:w="2912"/>
            <w:shd w:fill="FFFFFF" w:val="clear"/>
            <w:tcMar>
              <w:top w:type="dxa" w:w="80"/>
              <w:left w:type="dxa" w:w="100"/>
              <w:bottom w:type="dxa" w:w="80"/>
              <w:right w:type="dxa" w:w="100"/>
            </w:tcMar>
          </w:tcPr>
          <w:p>
            <w:pPr>
              <w:spacing w:after="0" w:line="240"/>
            </w:pPr>
            <w:r>
              <w:rPr>
                <w:sz w:val="17"/>
                <w:szCs w:val="17"/>
              </w:rPr>
              <w:t xml:space="preserve">19</w:t>
            </w:r>
          </w:p>
        </w:tc>
        <w:tc>
          <w:tcPr>
            <w:tcW w:type="dxa" w:w="2912"/>
            <w:shd w:fill="FFFFFF" w:val="clear"/>
            <w:tcMar>
              <w:top w:type="dxa" w:w="80"/>
              <w:left w:type="dxa" w:w="100"/>
              <w:bottom w:type="dxa" w:w="80"/>
              <w:right w:type="dxa" w:w="100"/>
            </w:tcMar>
          </w:tcPr>
          <w:p>
            <w:pPr>
              <w:spacing w:after="0" w:line="240"/>
            </w:pPr>
            <w:r>
              <w:rPr>
                <w:sz w:val="17"/>
                <w:szCs w:val="17"/>
              </w:rPr>
              <w:t xml:space="preserve">9.1 Risk register &amp; mitigation</w:t>
            </w:r>
          </w:p>
        </w:tc>
        <w:tc>
          <w:tcPr>
            <w:tcW w:type="dxa" w:w="2914"/>
            <w:shd w:fill="FFFFFF" w:val="clear"/>
            <w:tcMar>
              <w:top w:type="dxa" w:w="80"/>
              <w:left w:type="dxa" w:w="100"/>
              <w:bottom w:type="dxa" w:w="80"/>
              <w:right w:type="dxa" w:w="100"/>
            </w:tcMar>
          </w:tcPr>
          <w:p>
            <w:pPr>
              <w:spacing w:after="0" w:line="240"/>
            </w:pPr>
            <w:r>
              <w:rPr>
                <w:sz w:val="17"/>
                <w:szCs w:val="17"/>
              </w:rPr>
              <w:t xml:space="preserve">5×5 risk heat-map plotting R1-R14 by likelihood and impact, colour-coded green/amber/red, with R1, R2, R3 flagged as the three board-level risks.</w:t>
            </w:r>
          </w:p>
        </w:tc>
      </w:tr>
      <w:tr>
        <w:tc>
          <w:tcPr>
            <w:tcW w:type="dxa" w:w="2912"/>
            <w:shd w:fill="F5F1E8" w:val="clear"/>
            <w:tcMar>
              <w:top w:type="dxa" w:w="80"/>
              <w:left w:type="dxa" w:w="100"/>
              <w:bottom w:type="dxa" w:w="80"/>
              <w:right w:type="dxa" w:w="100"/>
            </w:tcMar>
          </w:tcPr>
          <w:p>
            <w:pPr>
              <w:spacing w:after="0" w:line="240"/>
            </w:pPr>
            <w:r>
              <w:rPr>
                <w:sz w:val="17"/>
                <w:szCs w:val="17"/>
              </w:rPr>
              <w:t xml:space="preserve">20</w:t>
            </w:r>
          </w:p>
        </w:tc>
        <w:tc>
          <w:tcPr>
            <w:tcW w:type="dxa" w:w="2912"/>
            <w:shd w:fill="F5F1E8" w:val="clear"/>
            <w:tcMar>
              <w:top w:type="dxa" w:w="80"/>
              <w:left w:type="dxa" w:w="100"/>
              <w:bottom w:type="dxa" w:w="80"/>
              <w:right w:type="dxa" w:w="100"/>
            </w:tcMar>
          </w:tcPr>
          <w:p>
            <w:pPr>
              <w:spacing w:after="0" w:line="240"/>
            </w:pPr>
            <w:r>
              <w:rPr>
                <w:sz w:val="17"/>
                <w:szCs w:val="17"/>
              </w:rPr>
              <w:t xml:space="preserve">10.3 Capital Expenditure: AED 664 Million, Phased 2026-2029</w:t>
            </w:r>
          </w:p>
        </w:tc>
        <w:tc>
          <w:tcPr>
            <w:tcW w:type="dxa" w:w="2914"/>
            <w:shd w:fill="F5F1E8" w:val="clear"/>
            <w:tcMar>
              <w:top w:type="dxa" w:w="80"/>
              <w:left w:type="dxa" w:w="100"/>
              <w:bottom w:type="dxa" w:w="80"/>
              <w:right w:type="dxa" w:w="100"/>
            </w:tcMar>
          </w:tcPr>
          <w:p>
            <w:pPr>
              <w:spacing w:after="0" w:line="240"/>
            </w:pPr>
            <w:r>
              <w:rPr>
                <w:sz w:val="17"/>
                <w:szCs w:val="17"/>
              </w:rPr>
              <w:t xml:space="preserve">CAPEX breakdown - stacked bar or waterfall showing the six CAPEX lines (RVM fleet 385 / centres 108 / IT 30 / logistics 40 / setup 45 / contingency…</w:t>
            </w:r>
          </w:p>
        </w:tc>
      </w:tr>
      <w:tr>
        <w:tc>
          <w:tcPr>
            <w:tcW w:type="dxa" w:w="2912"/>
            <w:shd w:fill="FFFFFF" w:val="clear"/>
            <w:tcMar>
              <w:top w:type="dxa" w:w="80"/>
              <w:left w:type="dxa" w:w="100"/>
              <w:bottom w:type="dxa" w:w="80"/>
              <w:right w:type="dxa" w:w="100"/>
            </w:tcMar>
          </w:tcPr>
          <w:p>
            <w:pPr>
              <w:spacing w:after="0" w:line="240"/>
            </w:pPr>
            <w:r>
              <w:rPr>
                <w:sz w:val="17"/>
                <w:szCs w:val="17"/>
              </w:rPr>
              <w:t xml:space="preserve">21</w:t>
            </w:r>
          </w:p>
        </w:tc>
        <w:tc>
          <w:tcPr>
            <w:tcW w:type="dxa" w:w="2912"/>
            <w:shd w:fill="FFFFFF" w:val="clear"/>
            <w:tcMar>
              <w:top w:type="dxa" w:w="80"/>
              <w:left w:type="dxa" w:w="100"/>
              <w:bottom w:type="dxa" w:w="80"/>
              <w:right w:type="dxa" w:w="100"/>
            </w:tcMar>
          </w:tcPr>
          <w:p>
            <w:pPr>
              <w:spacing w:after="0" w:line="240"/>
            </w:pPr>
            <w:r>
              <w:rPr>
                <w:sz w:val="17"/>
                <w:szCs w:val="17"/>
              </w:rPr>
              <w:t xml:space="preserve">10.7 System Returns: IRR 27.7%, NPV +AED 349m, Payback 2031</w:t>
            </w:r>
          </w:p>
        </w:tc>
        <w:tc>
          <w:tcPr>
            <w:tcW w:type="dxa" w:w="2914"/>
            <w:shd w:fill="FFFFFF" w:val="clear"/>
            <w:tcMar>
              <w:top w:type="dxa" w:w="80"/>
              <w:left w:type="dxa" w:w="100"/>
              <w:bottom w:type="dxa" w:w="80"/>
              <w:right w:type="dxa" w:w="100"/>
            </w:tcMar>
          </w:tcPr>
          <w:p>
            <w:pPr>
              <w:spacing w:after="0" w:line="240"/>
            </w:pPr>
            <w:r>
              <w:rPr>
                <w:sz w:val="17"/>
                <w:szCs w:val="17"/>
              </w:rPr>
              <w:t xml:space="preserve">Cash-flow curve 2026-2037 - annual net cash flow bars (negative 2026-2028 build years, trough at peak funding AED 294m, crossing zero at 2031 payba…</w:t>
            </w:r>
          </w:p>
        </w:tc>
      </w:tr>
      <w:tr>
        <w:tc>
          <w:tcPr>
            <w:tcW w:type="dxa" w:w="2912"/>
            <w:shd w:fill="F5F1E8" w:val="clear"/>
            <w:tcMar>
              <w:top w:type="dxa" w:w="80"/>
              <w:left w:type="dxa" w:w="100"/>
              <w:bottom w:type="dxa" w:w="80"/>
              <w:right w:type="dxa" w:w="100"/>
            </w:tcMar>
          </w:tcPr>
          <w:p>
            <w:pPr>
              <w:spacing w:after="0" w:line="240"/>
            </w:pPr>
            <w:r>
              <w:rPr>
                <w:sz w:val="17"/>
                <w:szCs w:val="17"/>
              </w:rPr>
              <w:t xml:space="preserve">22</w:t>
            </w:r>
          </w:p>
        </w:tc>
        <w:tc>
          <w:tcPr>
            <w:tcW w:type="dxa" w:w="2912"/>
            <w:shd w:fill="F5F1E8" w:val="clear"/>
            <w:tcMar>
              <w:top w:type="dxa" w:w="80"/>
              <w:left w:type="dxa" w:w="100"/>
              <w:bottom w:type="dxa" w:w="80"/>
              <w:right w:type="dxa" w:w="100"/>
            </w:tcMar>
          </w:tcPr>
          <w:p>
            <w:pPr>
              <w:spacing w:after="0" w:line="240"/>
            </w:pPr>
            <w:r>
              <w:rPr>
                <w:sz w:val="17"/>
                <w:szCs w:val="17"/>
              </w:rPr>
              <w:t xml:space="preserve">10.8 Scenario Analysis: Honest Bounds on the Base Case</w:t>
            </w:r>
          </w:p>
        </w:tc>
        <w:tc>
          <w:tcPr>
            <w:tcW w:type="dxa" w:w="2914"/>
            <w:shd w:fill="F5F1E8" w:val="clear"/>
            <w:tcMar>
              <w:top w:type="dxa" w:w="80"/>
              <w:left w:type="dxa" w:w="100"/>
              <w:bottom w:type="dxa" w:w="80"/>
              <w:right w:type="dxa" w:w="100"/>
            </w:tcMar>
          </w:tcPr>
          <w:p>
            <w:pPr>
              <w:spacing w:after="0" w:line="240"/>
            </w:pPr>
            <w:r>
              <w:rPr>
                <w:sz w:val="17"/>
                <w:szCs w:val="17"/>
              </w:rPr>
              <w:t xml:space="preserve">Scenario chart - three-line cumulative cash-flow or IRR tornado panel for Conservative (2.5% IRR, +20% fee reset) / Base (27.7%) / Optimistic (67%,…</w:t>
            </w:r>
          </w:p>
        </w:tc>
      </w:tr>
    </w:tbl>
    <w:p>
      <w:pPr>
        <w:spacing w:after="200"/>
      </w:pPr>
      <w:r>
        <w:rPr>
          <w:sz w:val="8"/>
          <w:szCs w:val="8"/>
        </w:rPr>
        <w:t xml:space="preserve"/>
      </w:r>
    </w:p>
    <w:sectPr>
      <w:headerReference w:type="default" r:id="rId7"/>
      <w:headerReference w:type="first" r:id="rId8"/>
      <w:footerReference w:type="default" r:id="rId9"/>
      <w:footerReference w:type="first" r:id="rId10"/>
      <w:pgSz w:w="11906" w:h="16838" w:orient="portrait"/>
      <w:pgMar w:top="1440" w:right="1584" w:bottom="1440" w:left="1584" w:header="720" w:footer="720"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C8B8" w:sz="4" w:space="2"/>
      </w:pBdr>
      <w:tabs>
        <w:tab w:val="right" w:pos="8738"/>
      </w:tabs>
      <w:spacing w:before="60"/>
    </w:pPr>
    <w:r>
      <w:rPr>
        <w:b/>
        <w:bCs/>
        <w:color w:val="9C4F2E"/>
        <w:spacing w:val="30"/>
        <w:sz w:val="15"/>
        <w:szCs w:val="15"/>
      </w:rPr>
      <w:t xml:space="preserve">CONFIDENTIAL</w:t>
    </w:r>
    <w:r>
      <w:rPr>
        <w:color w:val="4A6580"/>
        <w:sz w:val="15"/>
        <w:szCs w:val="15"/>
      </w:rPr>
      <w:t xml:space="preserve">  ·  Segen × Earth Care Consulting	</w:t>
    </w:r>
    <w:r>
      <w:rPr>
        <w:color w:val="1B2A4A"/>
        <w:sz w:val="16"/>
        <w:szCs w:val="16"/>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rPr>
        <w:sz w:val="8"/>
        <w:szCs w:val="8"/>
      </w:rPr>
      <w:t xml:space="preserv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227" w:sz="6" w:space="2"/>
      </w:pBdr>
      <w:tabs>
        <w:tab w:val="right" w:pos="8738"/>
      </w:tabs>
      <w:spacing w:after="0"/>
    </w:pPr>
    <w:r>
      <w:rPr>
        <w:rFonts w:ascii="Calibri" w:cs="Calibri" w:eastAsia="Calibri" w:hAnsi="Calibri"/>
        <w:color w:val="4A6580"/>
        <w:spacing w:val="10"/>
        <w:sz w:val="16"/>
        <w:szCs w:val="16"/>
      </w:rPr>
      <w:t xml:space="preserve">UAE National DRS - Feasibility &amp; Implementation Study</w:t>
    </w:r>
    <w:r>
      <w:rPr>
        <w:rFonts w:ascii="Calibri" w:cs="Calibri" w:eastAsia="Calibri" w:hAnsi="Calibri"/>
        <w:color w:val="4A6580"/>
        <w:sz w:val="16"/>
        <w:szCs w:val="16"/>
      </w:rPr>
      <w:t xml:space="preserve">	Segen × Earth Care Consulting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sz w:val="8"/>
        <w:szCs w:val="8"/>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32A35"/>
        <w:sz w:val="22"/>
        <w:szCs w:val="22"/>
      </w:rPr>
    </w:rPrDefault>
    <w:pPrDefault>
      <w:pPr>
        <w:spacing w:after="160"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OC1">
    <w:name w:val="toc 1"/>
    <w:basedOn w:val="Normal"/>
    <w:pPr>
      <w:spacing w:after="40" w:before="140"/>
    </w:pPr>
    <w:rPr>
      <w:rFonts w:ascii="Calibri" w:cs="Calibri" w:eastAsia="Calibri" w:hAnsi="Calibri"/>
      <w:b/>
      <w:bCs/>
      <w:color w:val="1B2A4A"/>
      <w:sz w:val="21"/>
      <w:szCs w:val="21"/>
    </w:rPr>
  </w:style>
  <w:style w:type="paragraph" w:styleId="TOC2">
    <w:name w:val="toc 2"/>
    <w:basedOn w:val="Normal"/>
    <w:pPr>
      <w:spacing w:after="20"/>
    </w:pPr>
    <w:rPr>
      <w:rFonts w:ascii="Calibri" w:cs="Calibri" w:eastAsia="Calibri" w:hAnsi="Calibri"/>
      <w:color w:val="4A6580"/>
      <w:sz w:val="19"/>
      <w:szCs w:val="19"/>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fc0d3c7dd3a21ec0ff6878d1411b4a05bb3407d7.png"/><Relationship Id="rId12" Type="http://schemas.openxmlformats.org/officeDocument/2006/relationships/image" Target="media/e784c006d70e8658048b1b29b54ce397703914ed.png"/><Relationship Id="rId13" Type="http://schemas.openxmlformats.org/officeDocument/2006/relationships/image" Target="media/e642fece13783d9a0673e5eea2b0194705c2a5ed.png"/><Relationship Id="rId14" Type="http://schemas.openxmlformats.org/officeDocument/2006/relationships/image" Target="media/1f77779f75f734b2b4f6179d046cc743d8af20e7.png"/><Relationship Id="rId15" Type="http://schemas.openxmlformats.org/officeDocument/2006/relationships/image" Target="media/b1b94d272a4919cd7fef095b8df9d886b78cd079.png"/><Relationship Id="rId16" Type="http://schemas.openxmlformats.org/officeDocument/2006/relationships/image" Target="media/daf617ce64d0537282ef0ba20a9b8aef84c4a845.png"/><Relationship Id="rId17" Type="http://schemas.openxmlformats.org/officeDocument/2006/relationships/image" Target="media/2a300b2f3a85b1697332a8722560539402feaf02.png"/><Relationship Id="rId18" Type="http://schemas.openxmlformats.org/officeDocument/2006/relationships/image" Target="media/3e7f8d0259a25e9819350e49b6d80fc8e78c28bc.png"/><Relationship Id="rId19" Type="http://schemas.openxmlformats.org/officeDocument/2006/relationships/image" Target="media/d5e3bcad272d22f479235bc38576c995d0361657.png"/><Relationship Id="rId20" Type="http://schemas.openxmlformats.org/officeDocument/2006/relationships/image" Target="media/4192d1b3fcb87855cdce870451a45f9e76c10b18.png"/><Relationship Id="rId21" Type="http://schemas.openxmlformats.org/officeDocument/2006/relationships/image" Target="media/74c69a30e966caf13e05a12195cfa6a3ac0112e7.jpg"/><Relationship Id="rId22" Type="http://schemas.openxmlformats.org/officeDocument/2006/relationships/image" Target="media/a59c5a0ad94e82c90ea3aeef2cd8776fc3e4f7db.jpg"/><Relationship Id="rId23" Type="http://schemas.openxmlformats.org/officeDocument/2006/relationships/image" Target="media/3afe7871d5c3c8efebc7d65c459e483df5d4f4d7.png"/><Relationship Id="rId24" Type="http://schemas.openxmlformats.org/officeDocument/2006/relationships/image" Target="media/f6893491503ac75591b6976887e46a300e06c522.png"/><Relationship Id="rId25" Type="http://schemas.openxmlformats.org/officeDocument/2006/relationships/image" Target="media/7b709f3e6c19659e1a1aa5494932944bf64be4da.png"/><Relationship Id="rId26" Type="http://schemas.openxmlformats.org/officeDocument/2006/relationships/image" Target="media/158058a238633893c735d53b9adfb72f3a645788.jpg"/><Relationship Id="rId27" Type="http://schemas.openxmlformats.org/officeDocument/2006/relationships/image" Target="media/11e87112e53351a3c6287461f6a466119d87a8c7.png"/><Relationship Id="rId28" Type="http://schemas.openxmlformats.org/officeDocument/2006/relationships/image" Target="media/58cc3f809967dd2880607280a6d9917c334a4c4f.png"/><Relationship Id="rId29" Type="http://schemas.openxmlformats.org/officeDocument/2006/relationships/image" Target="media/5308ead57bad2274fca0e88185825cb7fcdf5adb.png"/><Relationship Id="rId30" Type="http://schemas.openxmlformats.org/officeDocument/2006/relationships/image" Target="media/a4df64d1f15be623f1a3ca5743b6c280b6edc717.png"/><Relationship Id="rId31" Type="http://schemas.openxmlformats.org/officeDocument/2006/relationships/image" Target="media/30ff54db2c78cb48b1ff716676b27efe99073122.png"/><Relationship Id="rId32" Type="http://schemas.openxmlformats.org/officeDocument/2006/relationships/image" Target="media/50bbf2f1e8bb65a0b5d43be3b5770b181d7a4895.png"/><Relationship Id="rId33" Type="http://schemas.openxmlformats.org/officeDocument/2006/relationships/image" Target="media/9e04ae7c444be78891fd335573bdb33815919c56.png"/><Relationship Id="rId34" Type="http://schemas.openxmlformats.org/officeDocument/2006/relationships/image" Target="media/f60ca77fb7c06c55f74f49d0e256a90d36ce3bc1.png"/><Relationship Id="rId35" Type="http://schemas.openxmlformats.org/officeDocument/2006/relationships/image" Target="media/b1a9e35e06e97ab0badab8a0dd58e852e1d168a4.png"/><Relationship Id="rId3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UAE National Beverage Container Deposit Return System (DRS) - Feasibility &amp; Implementation Study</dc:title>
  <dc:creator>Segen × Earth Care Consulting</dc:creator>
  <dc:description>Deliverable D1 - Master Study. Prepared for MOET &amp; MOCCAE. July 2026. CONFIDENTIAL.</dc:description>
  <cp:lastModifiedBy>Un-named</cp:lastModifiedBy>
  <cp:revision>1</cp:revision>
  <dcterms:created xsi:type="dcterms:W3CDTF">2026-07-26T12:08:08.580Z</dcterms:created>
  <dcterms:modified xsi:type="dcterms:W3CDTF">2026-07-26T12:08:08.580Z</dcterms:modified>
</cp:coreProperties>
</file>

<file path=docProps/custom.xml><?xml version="1.0" encoding="utf-8"?>
<Properties xmlns="http://schemas.openxmlformats.org/officeDocument/2006/custom-properties" xmlns:vt="http://schemas.openxmlformats.org/officeDocument/2006/docPropsVTypes"/>
</file>